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843" w:rsidRPr="00E60843" w:rsidRDefault="00E60843" w:rsidP="00190BC8">
      <w:pPr>
        <w:tabs>
          <w:tab w:val="left" w:pos="284"/>
          <w:tab w:val="left" w:pos="2410"/>
          <w:tab w:val="left" w:pos="3402"/>
          <w:tab w:val="left" w:pos="3969"/>
          <w:tab w:val="left" w:pos="4111"/>
          <w:tab w:val="left" w:pos="4395"/>
          <w:tab w:val="left" w:pos="4962"/>
        </w:tabs>
      </w:pPr>
      <w:r w:rsidRPr="00E60843">
        <w:rPr>
          <w:noProof/>
          <w:lang w:eastAsia="en-CA"/>
        </w:rPr>
        <w:drawing>
          <wp:anchor distT="0" distB="0" distL="114300" distR="114300" simplePos="0" relativeHeight="251660288" behindDoc="1" locked="0" layoutInCell="1" allowOverlap="1">
            <wp:simplePos x="0" y="0"/>
            <wp:positionH relativeFrom="column">
              <wp:posOffset>2247900</wp:posOffset>
            </wp:positionH>
            <wp:positionV relativeFrom="paragraph">
              <wp:posOffset>-1333500</wp:posOffset>
            </wp:positionV>
            <wp:extent cx="1257300" cy="857250"/>
            <wp:effectExtent l="19050" t="0" r="0" b="0"/>
            <wp:wrapTight wrapText="bothSides">
              <wp:wrapPolygon edited="0">
                <wp:start x="-327" y="0"/>
                <wp:lineTo x="-327" y="21120"/>
                <wp:lineTo x="21600" y="21120"/>
                <wp:lineTo x="21600" y="0"/>
                <wp:lineTo x="-327" y="0"/>
              </wp:wrapPolygon>
            </wp:wrapTight>
            <wp:docPr id="4"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5" r:link="rId6" cstate="print"/>
                    <a:srcRect/>
                    <a:stretch>
                      <a:fillRect/>
                    </a:stretch>
                  </pic:blipFill>
                  <pic:spPr bwMode="auto">
                    <a:xfrm>
                      <a:off x="0" y="0"/>
                      <a:ext cx="1257300" cy="857250"/>
                    </a:xfrm>
                    <a:prstGeom prst="rect">
                      <a:avLst/>
                    </a:prstGeom>
                    <a:noFill/>
                    <a:ln w="9525">
                      <a:noFill/>
                      <a:miter lim="800000"/>
                      <a:headEnd/>
                      <a:tailEnd/>
                    </a:ln>
                  </pic:spPr>
                </pic:pic>
              </a:graphicData>
            </a:graphic>
          </wp:anchor>
        </w:drawing>
      </w:r>
    </w:p>
    <w:p w:rsidR="00E60843" w:rsidRPr="00E60843" w:rsidRDefault="00E60843" w:rsidP="00E60843"/>
    <w:p w:rsidR="00E60843" w:rsidRPr="00E60843" w:rsidRDefault="00E60843" w:rsidP="00E60843"/>
    <w:p w:rsidR="00E60843" w:rsidRPr="00E60843" w:rsidRDefault="00E60843" w:rsidP="00E60843"/>
    <w:p w:rsidR="00E60843" w:rsidRPr="00E60843" w:rsidRDefault="00E60843" w:rsidP="00E60843"/>
    <w:p w:rsidR="00E60843" w:rsidRPr="00E60843" w:rsidRDefault="00E60843" w:rsidP="00E60843">
      <w:r>
        <w:rPr>
          <w:noProof/>
          <w:lang w:eastAsia="en-CA"/>
        </w:rPr>
        <w:drawing>
          <wp:anchor distT="0" distB="0" distL="114300" distR="114300" simplePos="0" relativeHeight="251658240" behindDoc="1" locked="0" layoutInCell="1" allowOverlap="1">
            <wp:simplePos x="0" y="0"/>
            <wp:positionH relativeFrom="column">
              <wp:posOffset>1600200</wp:posOffset>
            </wp:positionH>
            <wp:positionV relativeFrom="paragraph">
              <wp:posOffset>-807085</wp:posOffset>
            </wp:positionV>
            <wp:extent cx="2743200" cy="1628775"/>
            <wp:effectExtent l="19050" t="0" r="0" b="0"/>
            <wp:wrapTight wrapText="bothSides">
              <wp:wrapPolygon edited="0">
                <wp:start x="-150" y="0"/>
                <wp:lineTo x="-150" y="21474"/>
                <wp:lineTo x="21600" y="21474"/>
                <wp:lineTo x="21600" y="0"/>
                <wp:lineTo x="-150" y="0"/>
              </wp:wrapPolygon>
            </wp:wrapTight>
            <wp:docPr id="1" name="Picture 1" descr="CCHN-1.jpg"/>
            <wp:cNvGraphicFramePr/>
            <a:graphic xmlns:a="http://schemas.openxmlformats.org/drawingml/2006/main">
              <a:graphicData uri="http://schemas.openxmlformats.org/drawingml/2006/picture">
                <pic:pic xmlns:pic="http://schemas.openxmlformats.org/drawingml/2006/picture">
                  <pic:nvPicPr>
                    <pic:cNvPr id="5" name="Picture 4" descr="CCHN-1.jpg"/>
                    <pic:cNvPicPr>
                      <a:picLocks noChangeAspect="1"/>
                    </pic:cNvPicPr>
                  </pic:nvPicPr>
                  <pic:blipFill>
                    <a:blip r:embed="rId7" cstate="print"/>
                    <a:stretch>
                      <a:fillRect/>
                    </a:stretch>
                  </pic:blipFill>
                  <pic:spPr>
                    <a:xfrm>
                      <a:off x="0" y="0"/>
                      <a:ext cx="2743200" cy="1628775"/>
                    </a:xfrm>
                    <a:prstGeom prst="rect">
                      <a:avLst/>
                    </a:prstGeom>
                  </pic:spPr>
                </pic:pic>
              </a:graphicData>
            </a:graphic>
          </wp:anchor>
        </w:drawing>
      </w:r>
    </w:p>
    <w:p w:rsidR="00E60843" w:rsidRPr="00E60843" w:rsidRDefault="00E60843" w:rsidP="00E60843">
      <w:r>
        <w:rPr>
          <w:noProof/>
          <w:lang w:eastAsia="en-CA"/>
        </w:rPr>
        <w:drawing>
          <wp:anchor distT="0" distB="0" distL="114300" distR="114300" simplePos="0" relativeHeight="251664384" behindDoc="1" locked="0" layoutInCell="1" allowOverlap="1">
            <wp:simplePos x="0" y="0"/>
            <wp:positionH relativeFrom="column">
              <wp:posOffset>2085975</wp:posOffset>
            </wp:positionH>
            <wp:positionV relativeFrom="paragraph">
              <wp:posOffset>-784225</wp:posOffset>
            </wp:positionV>
            <wp:extent cx="1847850" cy="1257300"/>
            <wp:effectExtent l="19050" t="0" r="0" b="0"/>
            <wp:wrapTight wrapText="bothSides">
              <wp:wrapPolygon edited="0">
                <wp:start x="-223" y="0"/>
                <wp:lineTo x="-223" y="21273"/>
                <wp:lineTo x="21600" y="21273"/>
                <wp:lineTo x="21600" y="0"/>
                <wp:lineTo x="-223" y="0"/>
              </wp:wrapPolygon>
            </wp:wrapTight>
            <wp:docPr id="13"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5" r:link="rId6" cstate="print"/>
                    <a:srcRect/>
                    <a:stretch>
                      <a:fillRect/>
                    </a:stretch>
                  </pic:blipFill>
                  <pic:spPr bwMode="auto">
                    <a:xfrm>
                      <a:off x="0" y="0"/>
                      <a:ext cx="1847850" cy="1257300"/>
                    </a:xfrm>
                    <a:prstGeom prst="rect">
                      <a:avLst/>
                    </a:prstGeom>
                    <a:noFill/>
                    <a:ln w="9525">
                      <a:noFill/>
                      <a:miter lim="800000"/>
                      <a:headEnd/>
                      <a:tailEnd/>
                    </a:ln>
                  </pic:spPr>
                </pic:pic>
              </a:graphicData>
            </a:graphic>
          </wp:anchor>
        </w:drawing>
      </w:r>
    </w:p>
    <w:p w:rsidR="00E60843" w:rsidRPr="00E60843" w:rsidRDefault="00E60843" w:rsidP="00E60843"/>
    <w:p w:rsidR="00E60843" w:rsidRPr="00E60843" w:rsidRDefault="00E60843" w:rsidP="00E60843"/>
    <w:p w:rsidR="00E60843" w:rsidRDefault="00E60843" w:rsidP="00190BC8">
      <w:pPr>
        <w:pStyle w:val="Heading1"/>
      </w:pPr>
    </w:p>
    <w:p w:rsidR="00E60843" w:rsidRPr="00E60843" w:rsidRDefault="00E60843" w:rsidP="00E60843">
      <w:pPr>
        <w:jc w:val="center"/>
        <w:rPr>
          <w:b/>
          <w:sz w:val="32"/>
          <w:szCs w:val="32"/>
        </w:rPr>
      </w:pPr>
      <w:r w:rsidRPr="00E60843">
        <w:rPr>
          <w:b/>
          <w:sz w:val="32"/>
          <w:szCs w:val="32"/>
        </w:rPr>
        <w:t>Health Matters Newsletter</w:t>
      </w:r>
    </w:p>
    <w:p w:rsidR="00E60843" w:rsidRDefault="00E60843" w:rsidP="00E60843">
      <w:pPr>
        <w:jc w:val="center"/>
        <w:rPr>
          <w:b/>
          <w:sz w:val="28"/>
          <w:szCs w:val="28"/>
        </w:rPr>
      </w:pPr>
      <w:r>
        <w:rPr>
          <w:b/>
          <w:sz w:val="28"/>
          <w:szCs w:val="28"/>
        </w:rPr>
        <w:t xml:space="preserve">April 25, 2014 </w:t>
      </w:r>
    </w:p>
    <w:p w:rsidR="00E60843" w:rsidRDefault="00E60843" w:rsidP="00E60843">
      <w:pPr>
        <w:jc w:val="center"/>
        <w:rPr>
          <w:b/>
          <w:sz w:val="28"/>
          <w:szCs w:val="28"/>
        </w:rPr>
      </w:pPr>
    </w:p>
    <w:p w:rsidR="00E60843" w:rsidRPr="00A14087" w:rsidRDefault="00A14087" w:rsidP="00E60843">
      <w:pPr>
        <w:spacing w:line="240" w:lineRule="auto"/>
      </w:pPr>
      <w:r>
        <w:rPr>
          <w:noProof/>
          <w:lang w:eastAsia="en-CA"/>
        </w:rPr>
        <w:drawing>
          <wp:anchor distT="0" distB="0" distL="114300" distR="114300" simplePos="0" relativeHeight="251665408" behindDoc="1" locked="0" layoutInCell="1" allowOverlap="1">
            <wp:simplePos x="0" y="0"/>
            <wp:positionH relativeFrom="column">
              <wp:posOffset>200025</wp:posOffset>
            </wp:positionH>
            <wp:positionV relativeFrom="paragraph">
              <wp:posOffset>-166370</wp:posOffset>
            </wp:positionV>
            <wp:extent cx="1953895" cy="2619375"/>
            <wp:effectExtent l="19050" t="0" r="8255" b="0"/>
            <wp:wrapTight wrapText="bothSides">
              <wp:wrapPolygon edited="0">
                <wp:start x="842" y="0"/>
                <wp:lineTo x="-211" y="1100"/>
                <wp:lineTo x="-211" y="20108"/>
                <wp:lineTo x="421" y="21521"/>
                <wp:lineTo x="842" y="21521"/>
                <wp:lineTo x="20638" y="21521"/>
                <wp:lineTo x="21059" y="21521"/>
                <wp:lineTo x="21691" y="20579"/>
                <wp:lineTo x="21691" y="1100"/>
                <wp:lineTo x="21270" y="157"/>
                <wp:lineTo x="20638" y="0"/>
                <wp:lineTo x="842" y="0"/>
              </wp:wrapPolygon>
            </wp:wrapTight>
            <wp:docPr id="6" name="Picture 5" descr="C:\Users\Cindy\Pictures\2014-04-22 April 2014 I phone photos\April 2014 I phone photos 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indy\Pictures\2014-04-22 April 2014 I phone photos\April 2014 I phone photos 019.JPG"/>
                    <pic:cNvPicPr>
                      <a:picLocks noChangeAspect="1" noChangeArrowheads="1"/>
                    </pic:cNvPicPr>
                  </pic:nvPicPr>
                  <pic:blipFill>
                    <a:blip r:embed="rId8" cstate="print"/>
                    <a:srcRect/>
                    <a:stretch>
                      <a:fillRect/>
                    </a:stretch>
                  </pic:blipFill>
                  <pic:spPr bwMode="auto">
                    <a:xfrm>
                      <a:off x="0" y="0"/>
                      <a:ext cx="1953895" cy="2619375"/>
                    </a:xfrm>
                    <a:prstGeom prst="rect">
                      <a:avLst/>
                    </a:prstGeom>
                    <a:ln>
                      <a:noFill/>
                    </a:ln>
                    <a:effectLst>
                      <a:softEdge rad="112500"/>
                    </a:effectLst>
                  </pic:spPr>
                </pic:pic>
              </a:graphicData>
            </a:graphic>
          </wp:anchor>
        </w:drawing>
      </w:r>
      <w:r>
        <w:t>The Cowichan Valley Trails are filled with spectacular wild flowers at this time of year.  Be sure to check out the Tzouhalem Wild Flower Reserve, Stoney Hill Trail</w:t>
      </w:r>
      <w:r w:rsidR="0022027F">
        <w:t xml:space="preserve"> on Genoa Bay Road</w:t>
      </w:r>
      <w:r>
        <w:t xml:space="preserve"> and the Gary </w:t>
      </w:r>
      <w:r w:rsidR="00AB5022">
        <w:t>Oak Reserve via Trillium Terrace and York Road.</w:t>
      </w:r>
    </w:p>
    <w:p w:rsidR="00A14087" w:rsidRDefault="00A14087" w:rsidP="00E60843">
      <w:pPr>
        <w:spacing w:line="240" w:lineRule="auto"/>
        <w:rPr>
          <w:b/>
          <w:sz w:val="28"/>
          <w:szCs w:val="28"/>
        </w:rPr>
      </w:pPr>
    </w:p>
    <w:p w:rsidR="00E60843" w:rsidRPr="00A35259" w:rsidRDefault="00E60843" w:rsidP="00E60843">
      <w:pPr>
        <w:spacing w:line="240" w:lineRule="auto"/>
        <w:rPr>
          <w:b/>
          <w:sz w:val="28"/>
          <w:szCs w:val="28"/>
        </w:rPr>
      </w:pPr>
      <w:r>
        <w:rPr>
          <w:b/>
          <w:sz w:val="28"/>
          <w:szCs w:val="28"/>
        </w:rPr>
        <w:t>Today’s Health Matters</w:t>
      </w:r>
      <w:r w:rsidRPr="00A35259">
        <w:rPr>
          <w:b/>
          <w:sz w:val="28"/>
          <w:szCs w:val="28"/>
        </w:rPr>
        <w:t xml:space="preserve"> Includes:</w:t>
      </w:r>
    </w:p>
    <w:p w:rsidR="00E60843" w:rsidRPr="00A35259" w:rsidRDefault="00E60843" w:rsidP="00E60843">
      <w:pPr>
        <w:spacing w:line="240" w:lineRule="auto"/>
        <w:rPr>
          <w:b/>
        </w:rPr>
      </w:pPr>
    </w:p>
    <w:p w:rsidR="00E60843" w:rsidRPr="0069401A" w:rsidRDefault="00E60843" w:rsidP="00E60843">
      <w:pPr>
        <w:pStyle w:val="ListParagraph"/>
        <w:numPr>
          <w:ilvl w:val="0"/>
          <w:numId w:val="3"/>
        </w:numPr>
        <w:spacing w:line="240" w:lineRule="auto"/>
        <w:rPr>
          <w:b/>
        </w:rPr>
      </w:pPr>
      <w:r w:rsidRPr="00A35259">
        <w:t>Meeting Schedules</w:t>
      </w:r>
    </w:p>
    <w:p w:rsidR="00E60843" w:rsidRPr="00A14087" w:rsidRDefault="00E60843" w:rsidP="00E60843">
      <w:pPr>
        <w:pStyle w:val="ListParagraph"/>
        <w:numPr>
          <w:ilvl w:val="0"/>
          <w:numId w:val="1"/>
        </w:numPr>
        <w:spacing w:line="240" w:lineRule="auto"/>
        <w:rPr>
          <w:b/>
        </w:rPr>
      </w:pPr>
      <w:r w:rsidRPr="00A35259">
        <w:t>Community meetings  and Events</w:t>
      </w:r>
    </w:p>
    <w:p w:rsidR="00A14087" w:rsidRPr="00AB5022" w:rsidRDefault="00A14087" w:rsidP="00E60843">
      <w:pPr>
        <w:pStyle w:val="ListParagraph"/>
        <w:numPr>
          <w:ilvl w:val="0"/>
          <w:numId w:val="1"/>
        </w:numPr>
        <w:spacing w:line="240" w:lineRule="auto"/>
        <w:rPr>
          <w:b/>
        </w:rPr>
      </w:pPr>
      <w:r>
        <w:t>Reminder of the Our Health System On Line Resource</w:t>
      </w:r>
    </w:p>
    <w:p w:rsidR="00AB5022" w:rsidRPr="00AB5022" w:rsidRDefault="00AB5022" w:rsidP="00E60843">
      <w:pPr>
        <w:pStyle w:val="ListParagraph"/>
        <w:numPr>
          <w:ilvl w:val="0"/>
          <w:numId w:val="1"/>
        </w:numPr>
        <w:spacing w:line="240" w:lineRule="auto"/>
        <w:rPr>
          <w:b/>
        </w:rPr>
      </w:pPr>
      <w:r>
        <w:t>BC Communities Health Atlas- on line maps</w:t>
      </w:r>
    </w:p>
    <w:p w:rsidR="00AB5022" w:rsidRPr="00AB5022" w:rsidRDefault="00AB5022" w:rsidP="00AB5022">
      <w:pPr>
        <w:pStyle w:val="ListParagraph"/>
        <w:numPr>
          <w:ilvl w:val="0"/>
          <w:numId w:val="1"/>
        </w:numPr>
        <w:spacing w:line="288" w:lineRule="atLeast"/>
        <w:outlineLvl w:val="1"/>
        <w:rPr>
          <w:rFonts w:eastAsia="Times New Roman" w:cs="Times New Roman"/>
          <w:bCs/>
          <w:color w:val="444447"/>
          <w:kern w:val="36"/>
          <w:lang w:eastAsia="en-CA"/>
        </w:rPr>
      </w:pPr>
      <w:r w:rsidRPr="00AB5022">
        <w:rPr>
          <w:rFonts w:eastAsia="Times New Roman" w:cs="Times New Roman"/>
          <w:bCs/>
          <w:color w:val="444447"/>
          <w:kern w:val="36"/>
          <w:lang w:eastAsia="en-CA"/>
        </w:rPr>
        <w:t>NEW! Healthy Built Environment Linkages Toolkit</w:t>
      </w:r>
    </w:p>
    <w:p w:rsidR="00AB5022" w:rsidRDefault="005333A0" w:rsidP="00E60843">
      <w:pPr>
        <w:pStyle w:val="ListParagraph"/>
        <w:numPr>
          <w:ilvl w:val="0"/>
          <w:numId w:val="1"/>
        </w:numPr>
        <w:spacing w:line="240" w:lineRule="auto"/>
      </w:pPr>
      <w:r w:rsidRPr="005333A0">
        <w:t>Healthy Communities News Letter link</w:t>
      </w:r>
    </w:p>
    <w:p w:rsidR="005333A0" w:rsidRDefault="005333A0" w:rsidP="00E60843">
      <w:pPr>
        <w:pStyle w:val="ListParagraph"/>
        <w:numPr>
          <w:ilvl w:val="0"/>
          <w:numId w:val="1"/>
        </w:numPr>
        <w:spacing w:line="240" w:lineRule="auto"/>
      </w:pPr>
      <w:r>
        <w:t>Volunteer Job Posting</w:t>
      </w:r>
    </w:p>
    <w:p w:rsidR="00E60843" w:rsidRPr="005333A0" w:rsidRDefault="005333A0" w:rsidP="00E60843">
      <w:pPr>
        <w:pStyle w:val="ListParagraph"/>
        <w:numPr>
          <w:ilvl w:val="0"/>
          <w:numId w:val="1"/>
        </w:numPr>
        <w:spacing w:line="240" w:lineRule="auto"/>
      </w:pPr>
      <w:r>
        <w:t>Elder Abuse and Neglect Workshop</w:t>
      </w:r>
    </w:p>
    <w:p w:rsidR="00E60843" w:rsidRPr="00A35259" w:rsidRDefault="00E60843" w:rsidP="00E60843">
      <w:pPr>
        <w:spacing w:line="240" w:lineRule="auto"/>
      </w:pPr>
      <w:r w:rsidRPr="00A35259">
        <w:rPr>
          <w:noProof/>
          <w:lang w:eastAsia="en-CA"/>
        </w:rPr>
        <w:drawing>
          <wp:inline distT="0" distB="0" distL="0" distR="0">
            <wp:extent cx="5715000" cy="95250"/>
            <wp:effectExtent l="19050" t="0" r="0" b="0"/>
            <wp:docPr id="3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E60843" w:rsidRPr="00A35259" w:rsidRDefault="00E60843" w:rsidP="00E60843">
      <w:pPr>
        <w:spacing w:line="240" w:lineRule="auto"/>
        <w:rPr>
          <w:b/>
          <w:sz w:val="28"/>
          <w:szCs w:val="28"/>
        </w:rPr>
      </w:pPr>
      <w:r w:rsidRPr="00A35259">
        <w:rPr>
          <w:b/>
          <w:sz w:val="28"/>
          <w:szCs w:val="28"/>
        </w:rPr>
        <w:t xml:space="preserve">Our Cowichan- Network Member Meetings- </w:t>
      </w:r>
    </w:p>
    <w:p w:rsidR="00A14087" w:rsidRDefault="00A14087" w:rsidP="00E60843">
      <w:pPr>
        <w:pStyle w:val="ListParagraph"/>
        <w:numPr>
          <w:ilvl w:val="0"/>
          <w:numId w:val="2"/>
        </w:numPr>
        <w:spacing w:line="240" w:lineRule="auto"/>
        <w:rPr>
          <w:b/>
        </w:rPr>
      </w:pPr>
      <w:r>
        <w:rPr>
          <w:b/>
        </w:rPr>
        <w:t xml:space="preserve">Next Asset Mapping and Research Committee meeting- </w:t>
      </w:r>
      <w:r>
        <w:t>Monday April 28, 12 noon CVRD Committee Room 1</w:t>
      </w:r>
    </w:p>
    <w:p w:rsidR="00E60843" w:rsidRPr="00A35259" w:rsidRDefault="00E60843" w:rsidP="00E60843">
      <w:pPr>
        <w:pStyle w:val="ListParagraph"/>
        <w:numPr>
          <w:ilvl w:val="0"/>
          <w:numId w:val="2"/>
        </w:numPr>
        <w:spacing w:line="240" w:lineRule="auto"/>
        <w:rPr>
          <w:b/>
        </w:rPr>
      </w:pPr>
      <w:r w:rsidRPr="00A35259">
        <w:rPr>
          <w:b/>
        </w:rPr>
        <w:t>Next Our Cowichan Network Meeting –</w:t>
      </w:r>
      <w:r w:rsidRPr="00A35259">
        <w:t>Thursday May 8, CVRD Board Room.  Light dinner at 5:30 pm – Meeting starts at 6:00 pm</w:t>
      </w:r>
      <w:r w:rsidRPr="00A35259">
        <w:rPr>
          <w:b/>
        </w:rPr>
        <w:t xml:space="preserve"> </w:t>
      </w:r>
    </w:p>
    <w:p w:rsidR="00E60843" w:rsidRPr="005333A0" w:rsidRDefault="00E60843" w:rsidP="005333A0">
      <w:pPr>
        <w:pStyle w:val="ListParagraph"/>
        <w:numPr>
          <w:ilvl w:val="0"/>
          <w:numId w:val="2"/>
        </w:numPr>
        <w:spacing w:line="240" w:lineRule="auto"/>
        <w:rPr>
          <w:b/>
        </w:rPr>
      </w:pPr>
      <w:r w:rsidRPr="00A35259">
        <w:rPr>
          <w:b/>
        </w:rPr>
        <w:t>Next Admin Committee Meeting-</w:t>
      </w:r>
      <w:r w:rsidRPr="00A35259">
        <w:t xml:space="preserve"> Wednesday May14 , 5:30 pm CVRD committee room 2</w:t>
      </w:r>
      <w:r w:rsidRPr="00A35259">
        <w:rPr>
          <w:b/>
        </w:rPr>
        <w:t xml:space="preserve"> </w:t>
      </w:r>
    </w:p>
    <w:p w:rsidR="00E60843" w:rsidRPr="00A35259" w:rsidRDefault="00E60843" w:rsidP="00E60843">
      <w:pPr>
        <w:spacing w:line="240" w:lineRule="auto"/>
      </w:pPr>
      <w:r w:rsidRPr="00A35259">
        <w:rPr>
          <w:noProof/>
          <w:lang w:eastAsia="en-CA"/>
        </w:rPr>
        <w:drawing>
          <wp:inline distT="0" distB="0" distL="0" distR="0">
            <wp:extent cx="5715000" cy="95250"/>
            <wp:effectExtent l="19050" t="0" r="0" b="0"/>
            <wp:docPr id="3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E60843" w:rsidRPr="00A35259" w:rsidRDefault="00E60843" w:rsidP="00E60843">
      <w:pPr>
        <w:spacing w:line="240" w:lineRule="auto"/>
        <w:rPr>
          <w:b/>
          <w:sz w:val="16"/>
          <w:szCs w:val="16"/>
        </w:rPr>
      </w:pPr>
    </w:p>
    <w:p w:rsidR="00E60843" w:rsidRDefault="00E60843" w:rsidP="00E60843">
      <w:pPr>
        <w:spacing w:line="240" w:lineRule="auto"/>
        <w:rPr>
          <w:b/>
          <w:sz w:val="28"/>
          <w:szCs w:val="28"/>
        </w:rPr>
      </w:pPr>
      <w:r w:rsidRPr="00A35259">
        <w:rPr>
          <w:b/>
          <w:sz w:val="28"/>
          <w:szCs w:val="28"/>
        </w:rPr>
        <w:t xml:space="preserve">Upcoming Events/ Workshops/ Community Meetings </w:t>
      </w:r>
    </w:p>
    <w:p w:rsidR="00AB5022" w:rsidRPr="005333A0" w:rsidRDefault="00AB5022" w:rsidP="00AB5022">
      <w:pPr>
        <w:pStyle w:val="ListParagraph"/>
        <w:numPr>
          <w:ilvl w:val="0"/>
          <w:numId w:val="3"/>
        </w:numPr>
        <w:spacing w:line="240" w:lineRule="auto"/>
        <w:rPr>
          <w:b/>
          <w:sz w:val="28"/>
          <w:szCs w:val="28"/>
        </w:rPr>
      </w:pPr>
      <w:r>
        <w:rPr>
          <w:sz w:val="24"/>
          <w:szCs w:val="24"/>
        </w:rPr>
        <w:t>Gathering Change Makers with Dr Paul Hasselback – May 13 New Life Baptist Church- see advertisement below.</w:t>
      </w:r>
    </w:p>
    <w:p w:rsidR="00E60843" w:rsidRPr="005333A0" w:rsidRDefault="005333A0" w:rsidP="005333A0">
      <w:pPr>
        <w:pStyle w:val="ListParagraph"/>
        <w:numPr>
          <w:ilvl w:val="0"/>
          <w:numId w:val="3"/>
        </w:numPr>
        <w:spacing w:line="240" w:lineRule="auto"/>
        <w:rPr>
          <w:sz w:val="28"/>
          <w:szCs w:val="28"/>
        </w:rPr>
      </w:pPr>
      <w:r w:rsidRPr="005333A0">
        <w:t>Elder Abuse/ Neglect workshop- see advertisement below</w:t>
      </w:r>
      <w:bookmarkStart w:id="0" w:name="B4"/>
      <w:bookmarkEnd w:id="0"/>
    </w:p>
    <w:p w:rsidR="00E60843" w:rsidRPr="00A35259" w:rsidRDefault="00E60843" w:rsidP="00E60843">
      <w:pPr>
        <w:rPr>
          <w:sz w:val="28"/>
          <w:szCs w:val="28"/>
        </w:rPr>
      </w:pPr>
      <w:r w:rsidRPr="00A35259">
        <w:rPr>
          <w:noProof/>
          <w:sz w:val="28"/>
          <w:lang w:eastAsia="en-CA"/>
        </w:rPr>
        <w:lastRenderedPageBreak/>
        <w:drawing>
          <wp:inline distT="0" distB="0" distL="0" distR="0">
            <wp:extent cx="5791200" cy="96520"/>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E60843" w:rsidRPr="00093872" w:rsidRDefault="00AB5022" w:rsidP="00E60843">
      <w:pPr>
        <w:rPr>
          <w:sz w:val="28"/>
          <w:szCs w:val="28"/>
        </w:rPr>
      </w:pPr>
      <w:r w:rsidRPr="00AB5022">
        <w:rPr>
          <w:b/>
          <w:sz w:val="28"/>
          <w:szCs w:val="28"/>
        </w:rPr>
        <w:t>A reminder of a good resource</w:t>
      </w:r>
      <w:r w:rsidRPr="00AB5022">
        <w:rPr>
          <w:b/>
        </w:rPr>
        <w:t xml:space="preserve"> </w:t>
      </w:r>
      <w:hyperlink r:id="rId10" w:tgtFrame="_blank" w:history="1">
        <w:r w:rsidR="00E60843" w:rsidRPr="00093872">
          <w:rPr>
            <w:rStyle w:val="Hyperlink"/>
            <w:rFonts w:ascii="Arial" w:hAnsi="Arial" w:cs="Arial"/>
            <w:sz w:val="28"/>
            <w:szCs w:val="28"/>
          </w:rPr>
          <w:t>CIHI releases OurHealthSystem.ca</w:t>
        </w:r>
      </w:hyperlink>
      <w:r w:rsidR="00E60843" w:rsidRPr="00093872">
        <w:rPr>
          <w:sz w:val="28"/>
          <w:szCs w:val="28"/>
        </w:rPr>
        <w:t xml:space="preserve"> </w:t>
      </w:r>
      <w:r w:rsidR="00E60843">
        <w:rPr>
          <w:sz w:val="28"/>
          <w:szCs w:val="28"/>
        </w:rPr>
        <w:t xml:space="preserve">– </w:t>
      </w:r>
    </w:p>
    <w:p w:rsidR="00E60843" w:rsidRPr="005333A0" w:rsidRDefault="00E60843" w:rsidP="005333A0">
      <w:r w:rsidRPr="00093872">
        <w:rPr>
          <w:rFonts w:cs="Arial"/>
        </w:rPr>
        <w:t>In November 2013, the Canadian Institute for Health Information (CIHI) released a new interactive website,</w:t>
      </w:r>
      <w:r>
        <w:t xml:space="preserve"> </w:t>
      </w:r>
      <w:hyperlink r:id="rId11" w:tgtFrame="_blank" w:history="1">
        <w:r w:rsidRPr="00093872">
          <w:rPr>
            <w:rStyle w:val="Hyperlink"/>
            <w:rFonts w:cs="Arial"/>
            <w:b/>
            <w:bCs/>
          </w:rPr>
          <w:t>OurHealthSystem.ca</w:t>
        </w:r>
      </w:hyperlink>
      <w:r w:rsidRPr="00093872">
        <w:rPr>
          <w:rFonts w:cs="Arial"/>
        </w:rPr>
        <w:t>, as part of a three-year plan to enhance its work on pan-Canadian health system performance reporting and to improve support for jurisdictional efforts to improve care and the health of Canadians.</w:t>
      </w:r>
      <w:r w:rsidRPr="00093872">
        <w:rPr>
          <w:rFonts w:cs="Arial"/>
        </w:rPr>
        <w:br/>
      </w:r>
      <w:r w:rsidRPr="00093872">
        <w:rPr>
          <w:rFonts w:cs="Arial"/>
        </w:rPr>
        <w:br/>
        <w:t>The website provides comparable information on broad health system performance that can be viewed at the national and provincial/territorial levels, and in some instances, at the health region and facility levels. Information is available on five areas of performance measurement that Canadians identified as being important to them: access to care, quality of care, health spending, health promotion and disease prevention, and health outcomes. The website currently displays results on a total of 15 performance indicators; viewers are able to see how provinces and territories compare with the national average and how performance has changed over time. In some cases, data are available on health region or hospital-level results. Health regions and hospitals that are considered top performers (have been in the top 10% for the last three years) are highlighted.</w:t>
      </w:r>
    </w:p>
    <w:p w:rsidR="00E60843" w:rsidRPr="00A35259" w:rsidRDefault="00E60843" w:rsidP="00E60843">
      <w:pPr>
        <w:rPr>
          <w:sz w:val="28"/>
          <w:szCs w:val="28"/>
        </w:rPr>
      </w:pPr>
      <w:r w:rsidRPr="00A35259">
        <w:rPr>
          <w:noProof/>
          <w:sz w:val="28"/>
          <w:szCs w:val="28"/>
          <w:lang w:eastAsia="en-CA"/>
        </w:rPr>
        <w:drawing>
          <wp:inline distT="0" distB="0" distL="0" distR="0">
            <wp:extent cx="5791200" cy="96520"/>
            <wp:effectExtent l="19050" t="0" r="0" b="0"/>
            <wp:docPr id="1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r w:rsidRPr="00A35259">
        <w:rPr>
          <w:rFonts w:cs="TTE7F49F90t00"/>
          <w:b/>
          <w:i/>
          <w:color w:val="9A0000"/>
          <w:sz w:val="60"/>
          <w:szCs w:val="60"/>
        </w:rPr>
        <w:t xml:space="preserve">                       </w:t>
      </w:r>
    </w:p>
    <w:p w:rsidR="00AB5022" w:rsidRPr="00AB5022" w:rsidRDefault="00AB5022" w:rsidP="00E60843">
      <w:pPr>
        <w:rPr>
          <w:b/>
          <w:sz w:val="28"/>
          <w:szCs w:val="28"/>
        </w:rPr>
      </w:pPr>
      <w:r>
        <w:rPr>
          <w:b/>
          <w:sz w:val="28"/>
          <w:szCs w:val="28"/>
        </w:rPr>
        <w:t xml:space="preserve">BC Communities Health Atlas- </w:t>
      </w:r>
    </w:p>
    <w:p w:rsidR="00E60843" w:rsidRDefault="00D9187E" w:rsidP="00E60843">
      <w:pPr>
        <w:rPr>
          <w:rFonts w:ascii="Calibri" w:hAnsi="Calibri"/>
          <w:lang w:val="en-US"/>
        </w:rPr>
      </w:pPr>
      <w:hyperlink r:id="rId12" w:history="1">
        <w:r w:rsidR="00E60843">
          <w:rPr>
            <w:rStyle w:val="Hyperlink"/>
            <w:lang w:val="en-US"/>
          </w:rPr>
          <w:t>http://maps.gov.bc.ca/ess/sv/cha/</w:t>
        </w:r>
      </w:hyperlink>
    </w:p>
    <w:p w:rsidR="00E60843" w:rsidRPr="00A35259" w:rsidRDefault="00E60843" w:rsidP="00E60843">
      <w:pPr>
        <w:ind w:firstLine="720"/>
        <w:rPr>
          <w:color w:val="1F497D"/>
        </w:rPr>
      </w:pPr>
    </w:p>
    <w:p w:rsidR="00E60843" w:rsidRDefault="00E60843" w:rsidP="00E60843">
      <w:pPr>
        <w:rPr>
          <w:sz w:val="28"/>
          <w:szCs w:val="28"/>
        </w:rPr>
      </w:pPr>
      <w:r w:rsidRPr="00A35259">
        <w:rPr>
          <w:noProof/>
          <w:sz w:val="28"/>
          <w:szCs w:val="28"/>
          <w:lang w:eastAsia="en-CA"/>
        </w:rPr>
        <w:drawing>
          <wp:inline distT="0" distB="0" distL="0" distR="0">
            <wp:extent cx="5791200" cy="96520"/>
            <wp:effectExtent l="19050" t="0" r="0" b="0"/>
            <wp:docPr id="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5333A0" w:rsidRPr="00A35259" w:rsidRDefault="005333A0" w:rsidP="00E60843">
      <w:pPr>
        <w:rPr>
          <w:sz w:val="28"/>
          <w:szCs w:val="28"/>
        </w:rPr>
      </w:pPr>
    </w:p>
    <w:p w:rsidR="00E60843" w:rsidRPr="00C03D80" w:rsidRDefault="00E60843" w:rsidP="00E60843">
      <w:pPr>
        <w:widowControl w:val="0"/>
        <w:autoSpaceDE w:val="0"/>
        <w:autoSpaceDN w:val="0"/>
        <w:adjustRightInd w:val="0"/>
        <w:rPr>
          <w:rFonts w:cs="Verdana"/>
          <w:b/>
          <w:sz w:val="24"/>
          <w:u w:val="single"/>
        </w:rPr>
      </w:pPr>
      <w:r>
        <w:rPr>
          <w:noProof/>
          <w:lang w:eastAsia="en-CA"/>
        </w:rPr>
        <w:lastRenderedPageBreak/>
        <w:drawing>
          <wp:inline distT="0" distB="0" distL="0" distR="0">
            <wp:extent cx="4641850" cy="4679950"/>
            <wp:effectExtent l="19050" t="0" r="6350" b="0"/>
            <wp:docPr id="8" name="Picture 1"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13" r:link="rId14" cstate="print"/>
                    <a:srcRect/>
                    <a:stretch>
                      <a:fillRect/>
                    </a:stretch>
                  </pic:blipFill>
                  <pic:spPr bwMode="auto">
                    <a:xfrm>
                      <a:off x="0" y="0"/>
                      <a:ext cx="4641850" cy="4679950"/>
                    </a:xfrm>
                    <a:prstGeom prst="rect">
                      <a:avLst/>
                    </a:prstGeom>
                    <a:noFill/>
                    <a:ln w="9525">
                      <a:noFill/>
                      <a:miter lim="800000"/>
                      <a:headEnd/>
                      <a:tailEnd/>
                    </a:ln>
                  </pic:spPr>
                </pic:pic>
              </a:graphicData>
            </a:graphic>
          </wp:inline>
        </w:drawing>
      </w:r>
    </w:p>
    <w:p w:rsidR="00E60843" w:rsidRPr="00A35259" w:rsidRDefault="00E60843" w:rsidP="00E60843">
      <w:pPr>
        <w:rPr>
          <w:sz w:val="28"/>
          <w:szCs w:val="28"/>
        </w:rPr>
      </w:pPr>
      <w:r w:rsidRPr="00A35259">
        <w:rPr>
          <w:noProof/>
          <w:sz w:val="28"/>
          <w:szCs w:val="28"/>
          <w:lang w:eastAsia="en-CA"/>
        </w:rPr>
        <w:drawing>
          <wp:inline distT="0" distB="0" distL="0" distR="0">
            <wp:extent cx="5791200" cy="96520"/>
            <wp:effectExtent l="19050" t="0" r="0" b="0"/>
            <wp:docPr id="2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E60843" w:rsidRPr="00AB5022" w:rsidRDefault="00E60843" w:rsidP="00E60843">
      <w:pPr>
        <w:spacing w:line="288" w:lineRule="atLeast"/>
        <w:outlineLvl w:val="1"/>
        <w:rPr>
          <w:rFonts w:eastAsia="Times New Roman" w:cs="Times New Roman"/>
          <w:b/>
          <w:bCs/>
          <w:color w:val="444447"/>
          <w:kern w:val="36"/>
          <w:sz w:val="32"/>
          <w:szCs w:val="32"/>
          <w:lang w:eastAsia="en-CA"/>
        </w:rPr>
      </w:pPr>
      <w:r w:rsidRPr="00AB5022">
        <w:rPr>
          <w:rFonts w:eastAsia="Times New Roman" w:cs="Times New Roman"/>
          <w:b/>
          <w:bCs/>
          <w:color w:val="444447"/>
          <w:kern w:val="36"/>
          <w:sz w:val="32"/>
          <w:szCs w:val="32"/>
          <w:lang w:eastAsia="en-CA"/>
        </w:rPr>
        <w:t>NEW! Healthy Built Environment Linkages Toolkit</w:t>
      </w:r>
    </w:p>
    <w:p w:rsidR="00E60843" w:rsidRPr="00AB5022" w:rsidRDefault="00E60843" w:rsidP="00E60843">
      <w:pPr>
        <w:spacing w:line="377" w:lineRule="atLeast"/>
        <w:rPr>
          <w:rFonts w:eastAsia="Times New Roman" w:cs="Times New Roman"/>
          <w:color w:val="6A6A6A"/>
          <w:sz w:val="21"/>
          <w:szCs w:val="21"/>
          <w:lang w:eastAsia="en-CA"/>
        </w:rPr>
      </w:pPr>
      <w:r w:rsidRPr="00AB5022">
        <w:rPr>
          <w:rFonts w:eastAsia="Times New Roman" w:cs="Times New Roman"/>
          <w:noProof/>
          <w:color w:val="6A6A6A"/>
          <w:sz w:val="21"/>
          <w:szCs w:val="21"/>
          <w:lang w:eastAsia="en-CA"/>
        </w:rPr>
        <w:drawing>
          <wp:inline distT="0" distB="0" distL="0" distR="0">
            <wp:extent cx="2047875" cy="2381250"/>
            <wp:effectExtent l="19050" t="0" r="9525" b="0"/>
            <wp:docPr id="11" name="Picture 1" descr="http://planh.ca/sites/default/files/styles/medium/public/tools-resources/linkages_toolkit_cover_page_mar_12_2014_2.jpg?itok=xXMqF1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nh.ca/sites/default/files/styles/medium/public/tools-resources/linkages_toolkit_cover_page_mar_12_2014_2.jpg?itok=xXMqF1oH"/>
                    <pic:cNvPicPr>
                      <a:picLocks noChangeAspect="1" noChangeArrowheads="1"/>
                    </pic:cNvPicPr>
                  </pic:nvPicPr>
                  <pic:blipFill>
                    <a:blip r:embed="rId15" cstate="print"/>
                    <a:srcRect/>
                    <a:stretch>
                      <a:fillRect/>
                    </a:stretch>
                  </pic:blipFill>
                  <pic:spPr bwMode="auto">
                    <a:xfrm>
                      <a:off x="0" y="0"/>
                      <a:ext cx="2047875" cy="2381250"/>
                    </a:xfrm>
                    <a:prstGeom prst="rect">
                      <a:avLst/>
                    </a:prstGeom>
                    <a:noFill/>
                    <a:ln w="9525">
                      <a:noFill/>
                      <a:miter lim="800000"/>
                      <a:headEnd/>
                      <a:tailEnd/>
                    </a:ln>
                  </pic:spPr>
                </pic:pic>
              </a:graphicData>
            </a:graphic>
          </wp:inline>
        </w:drawing>
      </w:r>
    </w:p>
    <w:p w:rsidR="00E60843" w:rsidRPr="00AB5022" w:rsidRDefault="00E60843" w:rsidP="00AB5022">
      <w:pPr>
        <w:spacing w:line="240" w:lineRule="auto"/>
        <w:rPr>
          <w:rFonts w:eastAsia="Times New Roman" w:cs="Times New Roman"/>
          <w:sz w:val="21"/>
          <w:szCs w:val="21"/>
          <w:lang w:eastAsia="en-CA"/>
        </w:rPr>
      </w:pPr>
      <w:r w:rsidRPr="00AB5022">
        <w:rPr>
          <w:rFonts w:eastAsia="Times New Roman" w:cs="Times New Roman"/>
          <w:sz w:val="21"/>
          <w:szCs w:val="21"/>
          <w:lang w:eastAsia="en-CA"/>
        </w:rPr>
        <w:t xml:space="preserve">How can local governments link planning principles to health outcomes? </w:t>
      </w:r>
    </w:p>
    <w:p w:rsidR="00E60843" w:rsidRPr="00AB5022" w:rsidRDefault="00D9187E" w:rsidP="00AB5022">
      <w:pPr>
        <w:spacing w:line="240" w:lineRule="auto"/>
        <w:rPr>
          <w:rFonts w:eastAsia="Times New Roman" w:cs="Times New Roman"/>
          <w:color w:val="0000FF"/>
          <w:sz w:val="21"/>
          <w:szCs w:val="21"/>
          <w:lang w:eastAsia="en-CA"/>
        </w:rPr>
      </w:pPr>
      <w:hyperlink r:id="rId16" w:tgtFrame="_blank" w:history="1">
        <w:r w:rsidR="00E60843" w:rsidRPr="00AB5022">
          <w:rPr>
            <w:rFonts w:eastAsia="Times New Roman" w:cs="Times New Roman"/>
            <w:color w:val="0000FF"/>
            <w:sz w:val="21"/>
            <w:szCs w:val="21"/>
            <w:lang w:eastAsia="en-CA"/>
          </w:rPr>
          <w:t>Download (PDF)</w:t>
        </w:r>
      </w:hyperlink>
      <w:r w:rsidR="00E60843" w:rsidRPr="00AB5022">
        <w:rPr>
          <w:rFonts w:eastAsia="Times New Roman" w:cs="Times New Roman"/>
          <w:color w:val="0000FF"/>
          <w:sz w:val="21"/>
          <w:szCs w:val="21"/>
          <w:lang w:eastAsia="en-CA"/>
        </w:rPr>
        <w:t xml:space="preserve"> </w:t>
      </w:r>
    </w:p>
    <w:p w:rsidR="00E60843" w:rsidRPr="00AB5022" w:rsidRDefault="00E60843" w:rsidP="00AB5022">
      <w:pPr>
        <w:spacing w:line="240" w:lineRule="auto"/>
        <w:rPr>
          <w:rFonts w:eastAsia="Times New Roman" w:cs="Times New Roman"/>
          <w:sz w:val="21"/>
          <w:szCs w:val="21"/>
          <w:lang w:eastAsia="en-CA"/>
        </w:rPr>
      </w:pPr>
      <w:r w:rsidRPr="00AB5022">
        <w:rPr>
          <w:rFonts w:eastAsia="Times New Roman" w:cs="Times New Roman"/>
          <w:sz w:val="21"/>
          <w:szCs w:val="21"/>
          <w:lang w:eastAsia="en-CA"/>
        </w:rPr>
        <w:lastRenderedPageBreak/>
        <w:t xml:space="preserve">The </w:t>
      </w:r>
      <w:r w:rsidRPr="00AB5022">
        <w:rPr>
          <w:rFonts w:eastAsia="Times New Roman" w:cs="Times New Roman"/>
          <w:i/>
          <w:iCs/>
          <w:sz w:val="21"/>
          <w:lang w:eastAsia="en-CA"/>
        </w:rPr>
        <w:t>Healthy Built Environment (HBE) Linkages Toolkit</w:t>
      </w:r>
      <w:r w:rsidR="00AB5022" w:rsidRPr="00AB5022">
        <w:rPr>
          <w:rFonts w:eastAsia="Times New Roman" w:cs="Times New Roman"/>
          <w:i/>
          <w:iCs/>
          <w:sz w:val="21"/>
          <w:lang w:eastAsia="en-CA"/>
        </w:rPr>
        <w:t xml:space="preserve">, </w:t>
      </w:r>
      <w:r w:rsidR="00AB5022" w:rsidRPr="00AB5022">
        <w:rPr>
          <w:rFonts w:eastAsia="Times New Roman" w:cs="Times New Roman"/>
          <w:sz w:val="21"/>
          <w:szCs w:val="21"/>
          <w:lang w:eastAsia="en-CA"/>
        </w:rPr>
        <w:t>developed</w:t>
      </w:r>
      <w:r w:rsidRPr="00AB5022">
        <w:rPr>
          <w:rFonts w:eastAsia="Times New Roman" w:cs="Times New Roman"/>
          <w:sz w:val="21"/>
          <w:szCs w:val="21"/>
          <w:lang w:eastAsia="en-CA"/>
        </w:rPr>
        <w:t xml:space="preserve"> by the </w:t>
      </w:r>
      <w:hyperlink r:id="rId17" w:tgtFrame="_blank" w:history="1">
        <w:r w:rsidRPr="00AB5022">
          <w:rPr>
            <w:rFonts w:eastAsia="Times New Roman" w:cs="Times New Roman"/>
            <w:sz w:val="21"/>
            <w:szCs w:val="21"/>
            <w:lang w:eastAsia="en-CA"/>
          </w:rPr>
          <w:t>PHSA Population and Public Health team in partnership with the Healthy Built Environment (HBE) Alliance</w:t>
        </w:r>
      </w:hyperlink>
      <w:r w:rsidRPr="00AB5022">
        <w:rPr>
          <w:rFonts w:eastAsia="Times New Roman" w:cs="Times New Roman"/>
          <w:sz w:val="21"/>
          <w:szCs w:val="21"/>
          <w:lang w:eastAsia="en-CA"/>
        </w:rPr>
        <w:t>,</w:t>
      </w:r>
      <w:proofErr w:type="gramStart"/>
      <w:r w:rsidRPr="00AB5022">
        <w:rPr>
          <w:rFonts w:eastAsia="Times New Roman" w:cs="Times New Roman"/>
          <w:sz w:val="21"/>
          <w:szCs w:val="21"/>
          <w:lang w:eastAsia="en-CA"/>
        </w:rPr>
        <w:t>  is</w:t>
      </w:r>
      <w:proofErr w:type="gramEnd"/>
      <w:r w:rsidRPr="00AB5022">
        <w:rPr>
          <w:rFonts w:eastAsia="Times New Roman" w:cs="Times New Roman"/>
          <w:sz w:val="21"/>
          <w:szCs w:val="21"/>
          <w:lang w:eastAsia="en-CA"/>
        </w:rPr>
        <w:t xml:space="preserve"> the first evidence-based and expert-informed resource that links planning principles to health outcomes. </w:t>
      </w:r>
    </w:p>
    <w:p w:rsidR="00E60843" w:rsidRPr="00AB5022" w:rsidRDefault="00E60843" w:rsidP="00AB5022">
      <w:pPr>
        <w:spacing w:line="240" w:lineRule="auto"/>
        <w:rPr>
          <w:rFonts w:eastAsia="Times New Roman" w:cs="Times New Roman"/>
          <w:sz w:val="21"/>
          <w:szCs w:val="21"/>
          <w:lang w:eastAsia="en-CA"/>
        </w:rPr>
      </w:pPr>
      <w:r w:rsidRPr="00AB5022">
        <w:rPr>
          <w:rFonts w:eastAsia="Times New Roman" w:cs="Times New Roman"/>
          <w:sz w:val="21"/>
          <w:szCs w:val="21"/>
          <w:lang w:eastAsia="en-CA"/>
        </w:rPr>
        <w:t xml:space="preserve">Intended to inform built environment design and decision-making, the Toolkit summarizes health evidence related to the five physical features of the built environment (neighbourhood design, transportation networks, natural environments, food systems, and housing).   </w:t>
      </w:r>
    </w:p>
    <w:p w:rsidR="00E60843" w:rsidRPr="00AB5022" w:rsidRDefault="00E60843" w:rsidP="00AB5022">
      <w:pPr>
        <w:spacing w:line="240" w:lineRule="auto"/>
        <w:rPr>
          <w:rFonts w:eastAsia="Times New Roman" w:cs="Times New Roman"/>
          <w:sz w:val="21"/>
          <w:szCs w:val="21"/>
          <w:lang w:eastAsia="en-CA"/>
        </w:rPr>
      </w:pPr>
      <w:r w:rsidRPr="00AB5022">
        <w:rPr>
          <w:rFonts w:eastAsia="Times New Roman" w:cs="Times New Roman"/>
          <w:sz w:val="21"/>
          <w:szCs w:val="21"/>
          <w:lang w:eastAsia="en-CA"/>
        </w:rPr>
        <w:t xml:space="preserve">By referring to the </w:t>
      </w:r>
      <w:r w:rsidRPr="00AB5022">
        <w:rPr>
          <w:rFonts w:eastAsia="Times New Roman" w:cs="Times New Roman"/>
          <w:i/>
          <w:iCs/>
          <w:sz w:val="21"/>
          <w:lang w:eastAsia="en-CA"/>
        </w:rPr>
        <w:t>HBE Linkages Toolkit</w:t>
      </w:r>
      <w:r w:rsidRPr="00AB5022">
        <w:rPr>
          <w:rFonts w:eastAsia="Times New Roman" w:cs="Times New Roman"/>
          <w:sz w:val="21"/>
          <w:szCs w:val="21"/>
          <w:lang w:eastAsia="en-CA"/>
        </w:rPr>
        <w:t xml:space="preserve">, local governments can </w:t>
      </w:r>
      <w:r w:rsidRPr="00AB5022">
        <w:rPr>
          <w:rFonts w:eastAsia="Times New Roman" w:cs="Times New Roman"/>
          <w:b/>
          <w:bCs/>
          <w:sz w:val="21"/>
          <w:szCs w:val="21"/>
          <w:lang w:eastAsia="en-CA"/>
        </w:rPr>
        <w:t>quickly understand key factors related to the built environment that influence health in their community</w:t>
      </w:r>
      <w:r w:rsidRPr="00AB5022">
        <w:rPr>
          <w:rFonts w:eastAsia="Times New Roman" w:cs="Times New Roman"/>
          <w:sz w:val="21"/>
          <w:szCs w:val="21"/>
          <w:lang w:eastAsia="en-CA"/>
        </w:rPr>
        <w:t xml:space="preserve">, and planners can </w:t>
      </w:r>
      <w:r w:rsidRPr="00AB5022">
        <w:rPr>
          <w:rFonts w:eastAsia="Times New Roman" w:cs="Times New Roman"/>
          <w:b/>
          <w:bCs/>
          <w:sz w:val="21"/>
          <w:szCs w:val="21"/>
          <w:lang w:eastAsia="en-CA"/>
        </w:rPr>
        <w:t>access a reliable summary of the health evidence that will support their daily work.</w:t>
      </w:r>
      <w:r w:rsidRPr="00AB5022">
        <w:rPr>
          <w:rFonts w:eastAsia="Times New Roman" w:cs="Times New Roman"/>
          <w:sz w:val="21"/>
          <w:szCs w:val="21"/>
          <w:lang w:eastAsia="en-CA"/>
        </w:rPr>
        <w:t xml:space="preserve"> </w:t>
      </w:r>
    </w:p>
    <w:p w:rsidR="00E60843" w:rsidRPr="00AB5022" w:rsidRDefault="00E60843" w:rsidP="00AB5022">
      <w:pPr>
        <w:spacing w:line="240" w:lineRule="auto"/>
        <w:rPr>
          <w:rFonts w:eastAsia="Times New Roman" w:cs="Times New Roman"/>
          <w:sz w:val="21"/>
          <w:szCs w:val="21"/>
          <w:lang w:eastAsia="en-CA"/>
        </w:rPr>
      </w:pPr>
      <w:r w:rsidRPr="00AB5022">
        <w:rPr>
          <w:rFonts w:eastAsia="Times New Roman" w:cs="Times New Roman"/>
          <w:sz w:val="21"/>
          <w:szCs w:val="21"/>
          <w:lang w:eastAsia="en-CA"/>
        </w:rPr>
        <w:t xml:space="preserve">The </w:t>
      </w:r>
      <w:r w:rsidRPr="00AB5022">
        <w:rPr>
          <w:rFonts w:eastAsia="Times New Roman" w:cs="Times New Roman"/>
          <w:i/>
          <w:iCs/>
          <w:sz w:val="21"/>
          <w:lang w:eastAsia="en-CA"/>
        </w:rPr>
        <w:t>HBE Linkages Toolkit</w:t>
      </w:r>
      <w:r w:rsidRPr="00AB5022">
        <w:rPr>
          <w:rFonts w:eastAsia="Times New Roman" w:cs="Times New Roman"/>
          <w:sz w:val="21"/>
          <w:szCs w:val="21"/>
          <w:lang w:eastAsia="en-CA"/>
        </w:rPr>
        <w:t xml:space="preserve"> is different from other toolkits because it provides a framework for thinking and talking about health and the built environment without prescribing which actions to take. The Toolkit is intended to be a conversation starter between planners, public health professionals, and local governments regarding “what” to do.  Other resources such as </w:t>
      </w:r>
      <w:proofErr w:type="spellStart"/>
      <w:r w:rsidRPr="00AB5022">
        <w:rPr>
          <w:rFonts w:eastAsia="Times New Roman" w:cs="Times New Roman"/>
          <w:sz w:val="21"/>
          <w:szCs w:val="21"/>
          <w:lang w:eastAsia="en-CA"/>
        </w:rPr>
        <w:t>PlanH</w:t>
      </w:r>
      <w:proofErr w:type="spellEnd"/>
      <w:r w:rsidRPr="00AB5022">
        <w:rPr>
          <w:rFonts w:eastAsia="Times New Roman" w:cs="Times New Roman"/>
          <w:sz w:val="21"/>
          <w:szCs w:val="21"/>
          <w:lang w:eastAsia="en-CA"/>
        </w:rPr>
        <w:t xml:space="preserve"> complement the </w:t>
      </w:r>
      <w:r w:rsidRPr="00AB5022">
        <w:rPr>
          <w:rFonts w:eastAsia="Times New Roman" w:cs="Times New Roman"/>
          <w:i/>
          <w:iCs/>
          <w:sz w:val="21"/>
          <w:lang w:eastAsia="en-CA"/>
        </w:rPr>
        <w:t>HBE Linkages Toolkit</w:t>
      </w:r>
      <w:r w:rsidRPr="00AB5022">
        <w:rPr>
          <w:rFonts w:eastAsia="Times New Roman" w:cs="Times New Roman"/>
          <w:sz w:val="21"/>
          <w:szCs w:val="21"/>
          <w:lang w:eastAsia="en-CA"/>
        </w:rPr>
        <w:t xml:space="preserve"> by offering solutions about “how” to plan and design healthy built environments. </w:t>
      </w:r>
    </w:p>
    <w:p w:rsidR="00E60843" w:rsidRPr="00AB5022" w:rsidRDefault="00D9187E" w:rsidP="00AB5022">
      <w:pPr>
        <w:numPr>
          <w:ilvl w:val="0"/>
          <w:numId w:val="4"/>
        </w:numPr>
        <w:spacing w:line="240" w:lineRule="auto"/>
        <w:ind w:left="0"/>
        <w:rPr>
          <w:rFonts w:eastAsia="Times New Roman" w:cs="Times New Roman"/>
          <w:color w:val="0000FF"/>
          <w:sz w:val="21"/>
          <w:szCs w:val="21"/>
          <w:lang w:eastAsia="en-CA"/>
        </w:rPr>
      </w:pPr>
      <w:hyperlink r:id="rId18" w:tgtFrame="_blank" w:history="1">
        <w:r w:rsidR="00E60843" w:rsidRPr="00AB5022">
          <w:rPr>
            <w:rFonts w:eastAsia="Times New Roman" w:cs="Times New Roman"/>
            <w:color w:val="0000FF"/>
            <w:sz w:val="21"/>
            <w:szCs w:val="21"/>
            <w:lang w:eastAsia="en-CA"/>
          </w:rPr>
          <w:t>Download the HBE Linkages Toolkit (PDF)</w:t>
        </w:r>
      </w:hyperlink>
      <w:r w:rsidR="00E60843" w:rsidRPr="00AB5022">
        <w:rPr>
          <w:rFonts w:eastAsia="Times New Roman" w:cs="Times New Roman"/>
          <w:color w:val="0000FF"/>
          <w:sz w:val="21"/>
          <w:szCs w:val="21"/>
          <w:lang w:eastAsia="en-CA"/>
        </w:rPr>
        <w:t xml:space="preserve">  </w:t>
      </w:r>
    </w:p>
    <w:p w:rsidR="00E60843" w:rsidRPr="00AB5022" w:rsidRDefault="00D9187E" w:rsidP="00AB5022">
      <w:pPr>
        <w:numPr>
          <w:ilvl w:val="0"/>
          <w:numId w:val="4"/>
        </w:numPr>
        <w:spacing w:line="240" w:lineRule="auto"/>
        <w:ind w:left="0"/>
        <w:rPr>
          <w:rFonts w:eastAsia="Times New Roman" w:cs="Times New Roman"/>
          <w:sz w:val="21"/>
          <w:szCs w:val="21"/>
          <w:lang w:eastAsia="en-CA"/>
        </w:rPr>
      </w:pPr>
      <w:hyperlink r:id="rId19" w:tgtFrame="_blank" w:history="1">
        <w:r w:rsidR="00E60843" w:rsidRPr="00AB5022">
          <w:rPr>
            <w:rFonts w:eastAsia="Times New Roman" w:cs="Times New Roman"/>
            <w:color w:val="0000FF"/>
            <w:sz w:val="21"/>
            <w:szCs w:val="21"/>
            <w:lang w:eastAsia="en-CA"/>
          </w:rPr>
          <w:t>Download the HBE Linkages Toolkit 2-Pager (PDF)</w:t>
        </w:r>
      </w:hyperlink>
      <w:r w:rsidR="00E60843" w:rsidRPr="00AB5022">
        <w:rPr>
          <w:rFonts w:eastAsia="Times New Roman" w:cs="Times New Roman"/>
          <w:sz w:val="21"/>
          <w:szCs w:val="21"/>
          <w:lang w:eastAsia="en-CA"/>
        </w:rPr>
        <w:t xml:space="preserve"> </w:t>
      </w:r>
    </w:p>
    <w:p w:rsidR="00A14087" w:rsidRPr="00AB5022" w:rsidRDefault="00A14087" w:rsidP="00AB5022">
      <w:pPr>
        <w:spacing w:line="240" w:lineRule="auto"/>
        <w:rPr>
          <w:rFonts w:eastAsia="Times New Roman" w:cs="Times New Roman"/>
          <w:sz w:val="21"/>
          <w:szCs w:val="21"/>
          <w:lang w:eastAsia="en-CA"/>
        </w:rPr>
      </w:pPr>
    </w:p>
    <w:p w:rsidR="00E60843" w:rsidRPr="00AB5022" w:rsidRDefault="00E60843" w:rsidP="00AB5022">
      <w:pPr>
        <w:spacing w:line="240" w:lineRule="auto"/>
        <w:outlineLvl w:val="4"/>
        <w:rPr>
          <w:rFonts w:eastAsia="Times New Roman" w:cs="Times New Roman"/>
          <w:b/>
          <w:bCs/>
          <w:sz w:val="25"/>
          <w:szCs w:val="25"/>
          <w:lang w:eastAsia="en-CA"/>
        </w:rPr>
      </w:pPr>
      <w:r w:rsidRPr="00AB5022">
        <w:rPr>
          <w:rFonts w:eastAsia="Times New Roman" w:cs="Times New Roman"/>
          <w:b/>
          <w:bCs/>
          <w:sz w:val="25"/>
          <w:szCs w:val="25"/>
          <w:lang w:eastAsia="en-CA"/>
        </w:rPr>
        <w:t>RELATED EVENTS</w:t>
      </w:r>
    </w:p>
    <w:p w:rsidR="00E60843" w:rsidRPr="00AB5022" w:rsidRDefault="00E60843" w:rsidP="00AB5022">
      <w:pPr>
        <w:numPr>
          <w:ilvl w:val="0"/>
          <w:numId w:val="5"/>
        </w:numPr>
        <w:spacing w:line="240" w:lineRule="auto"/>
        <w:ind w:left="0"/>
        <w:rPr>
          <w:rFonts w:eastAsia="Times New Roman" w:cs="Times New Roman"/>
          <w:color w:val="0000FF"/>
          <w:sz w:val="21"/>
          <w:szCs w:val="21"/>
          <w:lang w:eastAsia="en-CA"/>
        </w:rPr>
      </w:pPr>
      <w:r w:rsidRPr="00AB5022">
        <w:rPr>
          <w:rFonts w:eastAsia="Times New Roman" w:cs="Times New Roman"/>
          <w:b/>
          <w:bCs/>
          <w:sz w:val="21"/>
          <w:szCs w:val="21"/>
          <w:lang w:eastAsia="en-CA"/>
        </w:rPr>
        <w:t xml:space="preserve">POSTPONED! </w:t>
      </w:r>
      <w:hyperlink r:id="rId20" w:tgtFrame="_blank" w:history="1">
        <w:r w:rsidRPr="00AB5022">
          <w:rPr>
            <w:rFonts w:eastAsia="Times New Roman" w:cs="Times New Roman"/>
            <w:b/>
            <w:bCs/>
            <w:sz w:val="21"/>
            <w:szCs w:val="21"/>
            <w:lang w:eastAsia="en-CA"/>
          </w:rPr>
          <w:t>Healthy People Healthy Places: Exploring healthy built environments ~ April 25, 2014</w:t>
        </w:r>
      </w:hyperlink>
      <w:r w:rsidRPr="00AB5022">
        <w:rPr>
          <w:rFonts w:eastAsia="Times New Roman" w:cs="Times New Roman"/>
          <w:sz w:val="21"/>
          <w:szCs w:val="21"/>
          <w:lang w:eastAsia="en-CA"/>
        </w:rPr>
        <w:t xml:space="preserve"> </w:t>
      </w:r>
      <w:r w:rsidRPr="00AB5022">
        <w:rPr>
          <w:rFonts w:eastAsia="Times New Roman" w:cs="Times New Roman"/>
          <w:b/>
          <w:bCs/>
          <w:sz w:val="21"/>
          <w:szCs w:val="21"/>
          <w:lang w:eastAsia="en-CA"/>
        </w:rPr>
        <w:t>POSTPONED!</w:t>
      </w:r>
      <w:r w:rsidRPr="00AB5022">
        <w:rPr>
          <w:rFonts w:eastAsia="Times New Roman" w:cs="Times New Roman"/>
          <w:sz w:val="21"/>
          <w:szCs w:val="21"/>
          <w:lang w:eastAsia="en-CA"/>
        </w:rPr>
        <w:br/>
        <w:t>Join this inspirational morning of knowledge sharing and dialogue on planning and designing our communities for greater health and well-being. </w:t>
      </w:r>
      <w:r w:rsidRPr="00AB5022">
        <w:rPr>
          <w:rFonts w:eastAsia="Times New Roman" w:cs="Times New Roman"/>
          <w:sz w:val="21"/>
          <w:szCs w:val="21"/>
          <w:lang w:eastAsia="en-CA"/>
        </w:rPr>
        <w:br/>
        <w:t xml:space="preserve">The BC Ministry of Health will be </w:t>
      </w:r>
      <w:r w:rsidR="00A14087" w:rsidRPr="00AB5022">
        <w:rPr>
          <w:rFonts w:eastAsia="Times New Roman" w:cs="Times New Roman"/>
          <w:sz w:val="21"/>
          <w:szCs w:val="21"/>
          <w:lang w:eastAsia="en-CA"/>
        </w:rPr>
        <w:t>unveiling</w:t>
      </w:r>
      <w:r w:rsidRPr="00AB5022">
        <w:rPr>
          <w:rFonts w:eastAsia="Times New Roman" w:cs="Times New Roman"/>
          <w:sz w:val="21"/>
          <w:szCs w:val="21"/>
          <w:lang w:eastAsia="en-CA"/>
        </w:rPr>
        <w:t xml:space="preserve"> The Healthy Built Environment Linkages Toolkit. This is your chance to hear about this great resource from Matt Herman, Executive Director of the Healthy Living Branch.</w:t>
      </w:r>
      <w:r w:rsidRPr="00AB5022">
        <w:rPr>
          <w:rFonts w:eastAsia="Times New Roman" w:cs="Times New Roman"/>
          <w:sz w:val="21"/>
          <w:szCs w:val="21"/>
          <w:lang w:eastAsia="en-CA"/>
        </w:rPr>
        <w:br/>
      </w:r>
      <w:hyperlink r:id="rId21" w:tgtFrame="_blank" w:history="1">
        <w:r w:rsidRPr="00AB5022">
          <w:rPr>
            <w:rFonts w:eastAsia="Times New Roman" w:cs="Times New Roman"/>
            <w:color w:val="0000FF"/>
            <w:sz w:val="21"/>
            <w:szCs w:val="21"/>
            <w:lang w:eastAsia="en-CA"/>
          </w:rPr>
          <w:t>Download poster (PDF)</w:t>
        </w:r>
      </w:hyperlink>
      <w:r w:rsidRPr="00AB5022">
        <w:rPr>
          <w:rFonts w:eastAsia="Times New Roman" w:cs="Times New Roman"/>
          <w:color w:val="0000FF"/>
          <w:sz w:val="21"/>
          <w:szCs w:val="21"/>
          <w:lang w:eastAsia="en-CA"/>
        </w:rPr>
        <w:t> or to register </w:t>
      </w:r>
      <w:hyperlink r:id="rId22" w:tgtFrame="_blank" w:history="1">
        <w:r w:rsidRPr="00AB5022">
          <w:rPr>
            <w:rFonts w:eastAsia="Times New Roman" w:cs="Times New Roman"/>
            <w:color w:val="0000FF"/>
            <w:sz w:val="21"/>
            <w:szCs w:val="21"/>
            <w:lang w:eastAsia="en-CA"/>
          </w:rPr>
          <w:t>click here</w:t>
        </w:r>
      </w:hyperlink>
      <w:r w:rsidRPr="00AB5022">
        <w:rPr>
          <w:rFonts w:eastAsia="Times New Roman" w:cs="Times New Roman"/>
          <w:color w:val="0000FF"/>
          <w:sz w:val="21"/>
          <w:szCs w:val="21"/>
          <w:lang w:eastAsia="en-CA"/>
        </w:rPr>
        <w:t xml:space="preserve"> </w:t>
      </w:r>
    </w:p>
    <w:p w:rsidR="00E60843" w:rsidRPr="00AB5022" w:rsidRDefault="00D9187E" w:rsidP="00AB5022">
      <w:pPr>
        <w:numPr>
          <w:ilvl w:val="0"/>
          <w:numId w:val="5"/>
        </w:numPr>
        <w:spacing w:line="240" w:lineRule="auto"/>
        <w:ind w:left="0"/>
        <w:rPr>
          <w:rFonts w:eastAsia="Times New Roman" w:cs="Times New Roman"/>
          <w:color w:val="0000FF"/>
          <w:sz w:val="21"/>
          <w:szCs w:val="21"/>
          <w:lang w:eastAsia="en-CA"/>
        </w:rPr>
      </w:pPr>
      <w:hyperlink r:id="rId23" w:tgtFrame="_blank" w:history="1">
        <w:r w:rsidR="00E60843" w:rsidRPr="00AB5022">
          <w:rPr>
            <w:rFonts w:eastAsia="Times New Roman" w:cs="Times New Roman"/>
            <w:b/>
            <w:bCs/>
            <w:sz w:val="21"/>
            <w:szCs w:val="21"/>
            <w:lang w:eastAsia="en-CA"/>
          </w:rPr>
          <w:t>Linkages Toolkit Webinar ~ April 30, 2014</w:t>
        </w:r>
      </w:hyperlink>
      <w:r w:rsidR="00E60843" w:rsidRPr="00AB5022">
        <w:rPr>
          <w:rFonts w:eastAsia="Times New Roman" w:cs="Times New Roman"/>
          <w:sz w:val="21"/>
          <w:szCs w:val="21"/>
          <w:lang w:eastAsia="en-CA"/>
        </w:rPr>
        <w:br/>
        <w:t xml:space="preserve">Attend this special CHNET webinar to learn how the </w:t>
      </w:r>
      <w:r w:rsidR="00E60843" w:rsidRPr="00AB5022">
        <w:rPr>
          <w:rFonts w:eastAsia="Times New Roman" w:cs="Times New Roman"/>
          <w:i/>
          <w:iCs/>
          <w:sz w:val="21"/>
          <w:lang w:eastAsia="en-CA"/>
        </w:rPr>
        <w:t>HBE Linkages Toolkit</w:t>
      </w:r>
      <w:r w:rsidR="00E60843" w:rsidRPr="00AB5022">
        <w:rPr>
          <w:rFonts w:eastAsia="Times New Roman" w:cs="Times New Roman"/>
          <w:sz w:val="21"/>
          <w:szCs w:val="21"/>
          <w:lang w:eastAsia="en-CA"/>
        </w:rPr>
        <w:t xml:space="preserve"> can improve the health of the built environment in your community. </w:t>
      </w:r>
      <w:r w:rsidR="00E60843" w:rsidRPr="00AB5022">
        <w:rPr>
          <w:rFonts w:eastAsia="Times New Roman" w:cs="Times New Roman"/>
          <w:sz w:val="21"/>
          <w:szCs w:val="21"/>
          <w:lang w:eastAsia="en-CA"/>
        </w:rPr>
        <w:br/>
      </w:r>
      <w:hyperlink r:id="rId24" w:tgtFrame="_blank" w:history="1">
        <w:r w:rsidR="00E60843" w:rsidRPr="00AB5022">
          <w:rPr>
            <w:rFonts w:eastAsia="Times New Roman" w:cs="Times New Roman"/>
            <w:color w:val="0000FF"/>
            <w:sz w:val="21"/>
            <w:szCs w:val="21"/>
            <w:lang w:eastAsia="en-CA"/>
          </w:rPr>
          <w:t>Download poster (PDF)</w:t>
        </w:r>
      </w:hyperlink>
      <w:r w:rsidR="00E60843" w:rsidRPr="00AB5022">
        <w:rPr>
          <w:rFonts w:eastAsia="Times New Roman" w:cs="Times New Roman"/>
          <w:color w:val="0000FF"/>
          <w:sz w:val="21"/>
          <w:szCs w:val="21"/>
          <w:lang w:eastAsia="en-CA"/>
        </w:rPr>
        <w:t xml:space="preserve"> or to register </w:t>
      </w:r>
      <w:hyperlink r:id="rId25" w:tgtFrame="_blank" w:history="1">
        <w:r w:rsidR="00E60843" w:rsidRPr="00AB5022">
          <w:rPr>
            <w:rFonts w:eastAsia="Times New Roman" w:cs="Times New Roman"/>
            <w:color w:val="0000FF"/>
            <w:sz w:val="21"/>
            <w:szCs w:val="21"/>
            <w:lang w:eastAsia="en-CA"/>
          </w:rPr>
          <w:t>click here</w:t>
        </w:r>
      </w:hyperlink>
      <w:r w:rsidR="00E60843" w:rsidRPr="00AB5022">
        <w:rPr>
          <w:rFonts w:eastAsia="Times New Roman" w:cs="Times New Roman"/>
          <w:color w:val="0000FF"/>
          <w:sz w:val="21"/>
          <w:szCs w:val="21"/>
          <w:lang w:eastAsia="en-CA"/>
        </w:rPr>
        <w:t xml:space="preserve"> </w:t>
      </w:r>
    </w:p>
    <w:p w:rsidR="00E60843" w:rsidRPr="00AB5022" w:rsidRDefault="00D9187E" w:rsidP="00AB5022">
      <w:pPr>
        <w:spacing w:line="240" w:lineRule="auto"/>
        <w:rPr>
          <w:rFonts w:eastAsia="Times New Roman" w:cs="Times New Roman"/>
          <w:sz w:val="21"/>
          <w:szCs w:val="21"/>
          <w:lang w:eastAsia="en-CA"/>
        </w:rPr>
      </w:pPr>
      <w:r w:rsidRPr="00D9187E">
        <w:rPr>
          <w:rFonts w:eastAsia="Times New Roman" w:cs="Times New Roman"/>
          <w:sz w:val="21"/>
          <w:szCs w:val="21"/>
          <w:lang w:eastAsia="en-CA"/>
        </w:rPr>
        <w:pict>
          <v:rect id="_x0000_i1025" style="width:0;height:.75pt" o:hralign="center" o:hrstd="t" o:hrnoshade="t" o:hr="t" fillcolor="#eaeaea" stroked="f"/>
        </w:pict>
      </w:r>
    </w:p>
    <w:p w:rsidR="00E60843" w:rsidRPr="00AB5022" w:rsidRDefault="00E60843" w:rsidP="00AB5022">
      <w:pPr>
        <w:spacing w:line="240" w:lineRule="auto"/>
        <w:outlineLvl w:val="4"/>
        <w:rPr>
          <w:rFonts w:eastAsia="Times New Roman" w:cs="Times New Roman"/>
          <w:b/>
          <w:bCs/>
          <w:sz w:val="25"/>
          <w:szCs w:val="25"/>
          <w:lang w:eastAsia="en-CA"/>
        </w:rPr>
      </w:pPr>
      <w:r w:rsidRPr="00AB5022">
        <w:rPr>
          <w:rFonts w:eastAsia="Times New Roman" w:cs="Times New Roman"/>
          <w:b/>
          <w:bCs/>
          <w:sz w:val="25"/>
          <w:szCs w:val="25"/>
          <w:lang w:eastAsia="en-CA"/>
        </w:rPr>
        <w:t>REQUEST FOR FEEDBACK</w:t>
      </w:r>
    </w:p>
    <w:p w:rsidR="00E60843" w:rsidRPr="00AB5022" w:rsidRDefault="00E60843" w:rsidP="00AB5022">
      <w:pPr>
        <w:spacing w:line="240" w:lineRule="auto"/>
        <w:rPr>
          <w:rFonts w:eastAsia="Times New Roman" w:cs="Times New Roman"/>
          <w:sz w:val="21"/>
          <w:szCs w:val="21"/>
          <w:lang w:eastAsia="en-CA"/>
        </w:rPr>
      </w:pPr>
      <w:r w:rsidRPr="00AB5022">
        <w:rPr>
          <w:rFonts w:eastAsia="Times New Roman" w:cs="Times New Roman"/>
          <w:sz w:val="21"/>
          <w:szCs w:val="21"/>
          <w:lang w:eastAsia="en-CA"/>
        </w:rPr>
        <w:t xml:space="preserve">Please help us gather information about whether and how people might use the toolkit by filling out this </w:t>
      </w:r>
      <w:hyperlink r:id="rId26" w:tgtFrame="_blank" w:history="1">
        <w:r w:rsidRPr="00AB5022">
          <w:rPr>
            <w:rFonts w:eastAsia="Times New Roman" w:cs="Times New Roman"/>
            <w:sz w:val="21"/>
            <w:szCs w:val="21"/>
            <w:lang w:eastAsia="en-CA"/>
          </w:rPr>
          <w:t>short survey</w:t>
        </w:r>
      </w:hyperlink>
      <w:r w:rsidRPr="00AB5022">
        <w:rPr>
          <w:rFonts w:eastAsia="Times New Roman" w:cs="Times New Roman"/>
          <w:sz w:val="21"/>
          <w:szCs w:val="21"/>
          <w:lang w:eastAsia="en-CA"/>
        </w:rPr>
        <w:t>. </w:t>
      </w:r>
    </w:p>
    <w:p w:rsidR="00E60843" w:rsidRPr="00AB5022" w:rsidRDefault="00E60843" w:rsidP="00AB5022">
      <w:pPr>
        <w:spacing w:line="240" w:lineRule="auto"/>
        <w:rPr>
          <w:rFonts w:eastAsia="Times New Roman" w:cs="Times New Roman"/>
          <w:sz w:val="21"/>
          <w:szCs w:val="21"/>
          <w:lang w:eastAsia="en-CA"/>
        </w:rPr>
      </w:pPr>
      <w:r w:rsidRPr="00AB5022">
        <w:rPr>
          <w:rFonts w:eastAsia="Times New Roman" w:cs="Times New Roman"/>
          <w:sz w:val="20"/>
          <w:szCs w:val="20"/>
          <w:lang w:eastAsia="en-CA"/>
        </w:rPr>
        <w:t xml:space="preserve">We would greatly appreciate it if you could please take the time to complete the survey, forward the </w:t>
      </w:r>
      <w:hyperlink r:id="rId27" w:tgtFrame="_blank" w:history="1">
        <w:r w:rsidRPr="00AB5022">
          <w:rPr>
            <w:rFonts w:eastAsia="Times New Roman" w:cs="Times New Roman"/>
            <w:sz w:val="20"/>
            <w:szCs w:val="20"/>
            <w:lang w:eastAsia="en-CA"/>
          </w:rPr>
          <w:t>survey link</w:t>
        </w:r>
      </w:hyperlink>
      <w:r w:rsidRPr="00AB5022">
        <w:rPr>
          <w:rFonts w:eastAsia="Times New Roman" w:cs="Times New Roman"/>
          <w:sz w:val="20"/>
          <w:szCs w:val="20"/>
          <w:lang w:eastAsia="en-CA"/>
        </w:rPr>
        <w:t xml:space="preserve"> when you distribute the toolkit, and also consider adding similar questions to the evaluation forms for any event where the toolkit is being used or presented. </w:t>
      </w:r>
      <w:r w:rsidRPr="00AB5022">
        <w:rPr>
          <w:rFonts w:eastAsia="Times New Roman" w:cs="Times New Roman"/>
          <w:sz w:val="21"/>
          <w:szCs w:val="21"/>
          <w:lang w:eastAsia="en-CA"/>
        </w:rPr>
        <w:t xml:space="preserve"> </w:t>
      </w:r>
    </w:p>
    <w:p w:rsidR="00E60843" w:rsidRPr="00AB5022" w:rsidRDefault="00E60843" w:rsidP="00AB5022">
      <w:pPr>
        <w:spacing w:line="240" w:lineRule="auto"/>
        <w:rPr>
          <w:rFonts w:eastAsia="Times New Roman" w:cs="Times New Roman"/>
          <w:sz w:val="21"/>
          <w:szCs w:val="21"/>
          <w:lang w:eastAsia="en-CA"/>
        </w:rPr>
      </w:pPr>
      <w:r w:rsidRPr="00AB5022">
        <w:rPr>
          <w:rFonts w:eastAsia="Times New Roman" w:cs="Times New Roman"/>
          <w:sz w:val="20"/>
          <w:szCs w:val="20"/>
          <w:lang w:eastAsia="en-CA"/>
        </w:rPr>
        <w:t>For any additional questions, comments or feedback please contact </w:t>
      </w:r>
      <w:hyperlink r:id="rId28" w:history="1">
        <w:r w:rsidRPr="00AB5022">
          <w:rPr>
            <w:rFonts w:eastAsia="Times New Roman" w:cs="Times New Roman"/>
            <w:sz w:val="21"/>
            <w:lang w:eastAsia="en-CA"/>
          </w:rPr>
          <w:t>pph@phsa.ca</w:t>
        </w:r>
      </w:hyperlink>
      <w:r w:rsidRPr="00AB5022">
        <w:rPr>
          <w:rFonts w:eastAsia="Times New Roman" w:cs="Times New Roman"/>
          <w:sz w:val="21"/>
          <w:szCs w:val="21"/>
          <w:lang w:eastAsia="en-CA"/>
        </w:rPr>
        <w:t xml:space="preserve"> </w:t>
      </w:r>
    </w:p>
    <w:p w:rsidR="00E60843" w:rsidRPr="00AB5022" w:rsidRDefault="00E60843" w:rsidP="00E60843">
      <w:pPr>
        <w:spacing w:line="377" w:lineRule="atLeast"/>
        <w:rPr>
          <w:rFonts w:eastAsia="Times New Roman" w:cs="Times New Roman"/>
          <w:sz w:val="21"/>
          <w:szCs w:val="21"/>
          <w:lang w:eastAsia="en-CA"/>
        </w:rPr>
      </w:pPr>
      <w:r w:rsidRPr="00AB5022">
        <w:rPr>
          <w:rFonts w:eastAsia="Times New Roman" w:cs="Times New Roman"/>
          <w:noProof/>
          <w:sz w:val="21"/>
          <w:szCs w:val="21"/>
          <w:lang w:eastAsia="en-CA"/>
        </w:rPr>
        <w:drawing>
          <wp:inline distT="0" distB="0" distL="0" distR="0">
            <wp:extent cx="2305050" cy="428625"/>
            <wp:effectExtent l="19050" t="0" r="0" b="0"/>
            <wp:docPr id="14" name="Picture 4" descr="http://planh.ca/sites/default/files/pictures/logos/bchc-logo.jp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lanh.ca/sites/default/files/pictures/logos/bchc-logo.jpg">
                      <a:hlinkClick r:id="rId29" tgtFrame="&quot;_blank&quot;"/>
                    </pic:cNvPr>
                    <pic:cNvPicPr>
                      <a:picLocks noChangeAspect="1" noChangeArrowheads="1"/>
                    </pic:cNvPicPr>
                  </pic:nvPicPr>
                  <pic:blipFill>
                    <a:blip r:embed="rId30" cstate="print"/>
                    <a:srcRect/>
                    <a:stretch>
                      <a:fillRect/>
                    </a:stretch>
                  </pic:blipFill>
                  <pic:spPr bwMode="auto">
                    <a:xfrm>
                      <a:off x="0" y="0"/>
                      <a:ext cx="2305050" cy="428625"/>
                    </a:xfrm>
                    <a:prstGeom prst="rect">
                      <a:avLst/>
                    </a:prstGeom>
                    <a:noFill/>
                    <a:ln w="9525">
                      <a:noFill/>
                      <a:miter lim="800000"/>
                      <a:headEnd/>
                      <a:tailEnd/>
                    </a:ln>
                  </pic:spPr>
                </pic:pic>
              </a:graphicData>
            </a:graphic>
          </wp:inline>
        </w:drawing>
      </w:r>
      <w:r w:rsidRPr="00AB5022">
        <w:rPr>
          <w:rFonts w:eastAsia="Times New Roman" w:cs="Times New Roman"/>
          <w:sz w:val="21"/>
          <w:szCs w:val="21"/>
          <w:lang w:eastAsia="en-CA"/>
        </w:rPr>
        <w:t xml:space="preserve">  </w:t>
      </w:r>
      <w:r w:rsidRPr="00AB5022">
        <w:rPr>
          <w:rFonts w:eastAsia="Times New Roman" w:cs="Times New Roman"/>
          <w:noProof/>
          <w:sz w:val="21"/>
          <w:szCs w:val="21"/>
          <w:lang w:eastAsia="en-CA"/>
        </w:rPr>
        <w:drawing>
          <wp:inline distT="0" distB="0" distL="0" distR="0">
            <wp:extent cx="1952625" cy="428625"/>
            <wp:effectExtent l="19050" t="0" r="9525" b="0"/>
            <wp:docPr id="15" name="Picture 5" descr="http://planh.ca/sites/default/files/pictures/logos/hfbc-logo.jp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lanh.ca/sites/default/files/pictures/logos/hfbc-logo.jpg">
                      <a:hlinkClick r:id="rId31" tgtFrame="&quot;_blank&quot;"/>
                    </pic:cNvPr>
                    <pic:cNvPicPr>
                      <a:picLocks noChangeAspect="1" noChangeArrowheads="1"/>
                    </pic:cNvPicPr>
                  </pic:nvPicPr>
                  <pic:blipFill>
                    <a:blip r:embed="rId32" cstate="print"/>
                    <a:srcRect/>
                    <a:stretch>
                      <a:fillRect/>
                    </a:stretch>
                  </pic:blipFill>
                  <pic:spPr bwMode="auto">
                    <a:xfrm>
                      <a:off x="0" y="0"/>
                      <a:ext cx="1952625" cy="428625"/>
                    </a:xfrm>
                    <a:prstGeom prst="rect">
                      <a:avLst/>
                    </a:prstGeom>
                    <a:noFill/>
                    <a:ln w="9525">
                      <a:noFill/>
                      <a:miter lim="800000"/>
                      <a:headEnd/>
                      <a:tailEnd/>
                    </a:ln>
                  </pic:spPr>
                </pic:pic>
              </a:graphicData>
            </a:graphic>
          </wp:inline>
        </w:drawing>
      </w:r>
    </w:p>
    <w:p w:rsidR="00E60843" w:rsidRPr="00A35259" w:rsidRDefault="00E60843" w:rsidP="00E60843">
      <w:pPr>
        <w:rPr>
          <w:sz w:val="28"/>
          <w:szCs w:val="28"/>
        </w:rPr>
      </w:pPr>
    </w:p>
    <w:p w:rsidR="00E60843" w:rsidRPr="00A35259" w:rsidRDefault="00E60843" w:rsidP="00E60843">
      <w:pPr>
        <w:rPr>
          <w:sz w:val="28"/>
          <w:szCs w:val="28"/>
        </w:rPr>
      </w:pPr>
      <w:r w:rsidRPr="00C03D80">
        <w:rPr>
          <w:noProof/>
          <w:sz w:val="28"/>
          <w:szCs w:val="28"/>
          <w:lang w:eastAsia="en-CA"/>
        </w:rPr>
        <w:drawing>
          <wp:inline distT="0" distB="0" distL="0" distR="0">
            <wp:extent cx="5791200" cy="96520"/>
            <wp:effectExtent l="19050" t="0" r="0" b="0"/>
            <wp:docPr id="1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10560"/>
      </w:tblGrid>
      <w:tr w:rsidR="005333A0" w:rsidTr="005333A0">
        <w:trPr>
          <w:tblCellSpacing w:w="0" w:type="dxa"/>
        </w:trPr>
        <w:tc>
          <w:tcPr>
            <w:tcW w:w="0" w:type="auto"/>
            <w:tcMar>
              <w:top w:w="300" w:type="dxa"/>
              <w:left w:w="600" w:type="dxa"/>
              <w:bottom w:w="225" w:type="dxa"/>
              <w:right w:w="600" w:type="dxa"/>
            </w:tcMar>
            <w:hideMark/>
          </w:tcPr>
          <w:tbl>
            <w:tblPr>
              <w:tblW w:w="5000" w:type="pct"/>
              <w:tblCellSpacing w:w="0" w:type="dxa"/>
              <w:tblCellMar>
                <w:left w:w="0" w:type="dxa"/>
                <w:right w:w="0" w:type="dxa"/>
              </w:tblCellMar>
              <w:tblLook w:val="04A0"/>
            </w:tblPr>
            <w:tblGrid>
              <w:gridCol w:w="9360"/>
            </w:tblGrid>
            <w:tr w:rsidR="005333A0">
              <w:trPr>
                <w:tblCellSpacing w:w="0" w:type="dxa"/>
              </w:trPr>
              <w:tc>
                <w:tcPr>
                  <w:tcW w:w="0" w:type="auto"/>
                  <w:tcMar>
                    <w:top w:w="0" w:type="dxa"/>
                    <w:left w:w="0" w:type="dxa"/>
                    <w:bottom w:w="225" w:type="dxa"/>
                    <w:right w:w="0" w:type="dxa"/>
                  </w:tcMar>
                  <w:vAlign w:val="center"/>
                  <w:hideMark/>
                </w:tcPr>
                <w:p w:rsidR="005333A0" w:rsidRDefault="005333A0">
                  <w:pPr>
                    <w:pStyle w:val="NormalWeb"/>
                    <w:spacing w:before="0" w:beforeAutospacing="0" w:after="0" w:afterAutospacing="0"/>
                    <w:jc w:val="center"/>
                    <w:rPr>
                      <w:rFonts w:ascii="Trebuchet MS" w:hAnsi="Trebuchet MS"/>
                      <w:color w:val="000000"/>
                      <w:sz w:val="17"/>
                      <w:szCs w:val="17"/>
                    </w:rPr>
                  </w:pPr>
                  <w:r>
                    <w:rPr>
                      <w:rFonts w:ascii="Arial" w:hAnsi="Arial" w:cs="Arial"/>
                      <w:b/>
                      <w:bCs/>
                      <w:noProof/>
                      <w:color w:val="CC0E12"/>
                      <w:sz w:val="78"/>
                      <w:szCs w:val="78"/>
                    </w:rPr>
                    <w:lastRenderedPageBreak/>
                    <w:drawing>
                      <wp:inline distT="0" distB="0" distL="0" distR="0">
                        <wp:extent cx="4762500" cy="1219200"/>
                        <wp:effectExtent l="19050" t="0" r="0" b="0"/>
                        <wp:docPr id="9" name="Picture 2" descr="http://staticapp.icpsc.com/icp/loadimage.php/mogile/804138/b42bc20d794eadc0a80ead62dc2867bd/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app.icpsc.com/icp/loadimage.php/mogile/804138/b42bc20d794eadc0a80ead62dc2867bd/image/jpeg"/>
                                <pic:cNvPicPr>
                                  <a:picLocks noChangeAspect="1" noChangeArrowheads="1"/>
                                </pic:cNvPicPr>
                              </pic:nvPicPr>
                              <pic:blipFill>
                                <a:blip r:embed="rId33" cstate="print"/>
                                <a:srcRect/>
                                <a:stretch>
                                  <a:fillRect/>
                                </a:stretch>
                              </pic:blipFill>
                              <pic:spPr bwMode="auto">
                                <a:xfrm>
                                  <a:off x="0" y="0"/>
                                  <a:ext cx="4762500" cy="1219200"/>
                                </a:xfrm>
                                <a:prstGeom prst="rect">
                                  <a:avLst/>
                                </a:prstGeom>
                                <a:noFill/>
                                <a:ln w="9525">
                                  <a:noFill/>
                                  <a:miter lim="800000"/>
                                  <a:headEnd/>
                                  <a:tailEnd/>
                                </a:ln>
                              </pic:spPr>
                            </pic:pic>
                          </a:graphicData>
                        </a:graphic>
                      </wp:inline>
                    </w:drawing>
                  </w:r>
                </w:p>
                <w:p w:rsidR="005333A0" w:rsidRDefault="005333A0">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tc>
            </w:tr>
            <w:tr w:rsidR="005333A0">
              <w:trPr>
                <w:tblCellSpacing w:w="0" w:type="dxa"/>
              </w:trPr>
              <w:tc>
                <w:tcPr>
                  <w:tcW w:w="0" w:type="auto"/>
                  <w:tcMar>
                    <w:top w:w="0" w:type="dxa"/>
                    <w:left w:w="0" w:type="dxa"/>
                    <w:bottom w:w="300" w:type="dxa"/>
                    <w:right w:w="0" w:type="dxa"/>
                  </w:tcMar>
                  <w:vAlign w:val="center"/>
                  <w:hideMark/>
                </w:tcPr>
                <w:p w:rsidR="005333A0" w:rsidRDefault="005333A0">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5333A0" w:rsidRDefault="005333A0">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rPr>
                    <w:t xml:space="preserve">  Yours to behold: BC Healthy Communities Society </w:t>
                  </w:r>
                </w:p>
                <w:p w:rsidR="005333A0" w:rsidRDefault="005333A0">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rPr>
                    <w:t>April Newsletter </w:t>
                  </w:r>
                </w:p>
                <w:p w:rsidR="005333A0" w:rsidRDefault="00D9187E">
                  <w:pPr>
                    <w:pStyle w:val="NormalWeb"/>
                    <w:spacing w:before="0" w:beforeAutospacing="0" w:after="0" w:afterAutospacing="0"/>
                    <w:jc w:val="center"/>
                    <w:rPr>
                      <w:rFonts w:ascii="Trebuchet MS" w:hAnsi="Trebuchet MS"/>
                      <w:color w:val="000000"/>
                      <w:sz w:val="17"/>
                      <w:szCs w:val="17"/>
                    </w:rPr>
                  </w:pPr>
                  <w:hyperlink r:id="rId34" w:history="1">
                    <w:r w:rsidR="005333A0">
                      <w:rPr>
                        <w:rStyle w:val="Hyperlink"/>
                        <w:rFonts w:ascii="Trebuchet MS" w:hAnsi="Trebuchet MS"/>
                        <w:color w:val="DA4336"/>
                      </w:rPr>
                      <w:t>Get the news!</w:t>
                    </w:r>
                  </w:hyperlink>
                  <w:r w:rsidR="005333A0">
                    <w:rPr>
                      <w:rFonts w:ascii="Trebuchet MS" w:hAnsi="Trebuchet MS"/>
                      <w:color w:val="000000"/>
                    </w:rPr>
                    <w:t>  </w:t>
                  </w:r>
                </w:p>
              </w:tc>
            </w:tr>
          </w:tbl>
          <w:p w:rsidR="005333A0" w:rsidRDefault="005333A0">
            <w:pPr>
              <w:rPr>
                <w:rFonts w:eastAsia="Times New Roman"/>
                <w:sz w:val="20"/>
                <w:szCs w:val="20"/>
              </w:rPr>
            </w:pPr>
          </w:p>
        </w:tc>
      </w:tr>
    </w:tbl>
    <w:p w:rsidR="007404A9" w:rsidRDefault="007404A9" w:rsidP="00E60843">
      <w:pPr>
        <w:spacing w:line="240" w:lineRule="auto"/>
        <w:jc w:val="center"/>
        <w:rPr>
          <w:sz w:val="28"/>
          <w:szCs w:val="28"/>
        </w:rPr>
      </w:pPr>
    </w:p>
    <w:p w:rsidR="007404A9" w:rsidRDefault="007404A9" w:rsidP="00E60843">
      <w:pPr>
        <w:spacing w:line="240" w:lineRule="auto"/>
        <w:jc w:val="center"/>
        <w:rPr>
          <w:sz w:val="28"/>
          <w:szCs w:val="28"/>
        </w:rPr>
      </w:pPr>
    </w:p>
    <w:p w:rsidR="007404A9" w:rsidRPr="005333A0" w:rsidRDefault="005333A0" w:rsidP="005333A0">
      <w:pPr>
        <w:spacing w:line="240" w:lineRule="auto"/>
        <w:jc w:val="center"/>
        <w:rPr>
          <w:sz w:val="28"/>
          <w:szCs w:val="28"/>
        </w:rPr>
      </w:pPr>
      <w:r w:rsidRPr="005333A0">
        <w:rPr>
          <w:noProof/>
          <w:sz w:val="28"/>
          <w:szCs w:val="28"/>
          <w:lang w:eastAsia="en-CA"/>
        </w:rPr>
        <w:drawing>
          <wp:inline distT="0" distB="0" distL="0" distR="0">
            <wp:extent cx="5791200" cy="96520"/>
            <wp:effectExtent l="19050" t="0" r="0" b="0"/>
            <wp:docPr id="10"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7404A9" w:rsidRDefault="005333A0" w:rsidP="007404A9">
      <w:pPr>
        <w:pStyle w:val="Title"/>
        <w:rPr>
          <w:rFonts w:ascii="Arial" w:hAnsi="Arial" w:cs="Arial"/>
          <w:sz w:val="22"/>
          <w:szCs w:val="22"/>
        </w:rPr>
      </w:pPr>
      <w:r>
        <w:rPr>
          <w:rFonts w:ascii="Arial" w:hAnsi="Arial" w:cs="Arial"/>
          <w:noProof/>
          <w:sz w:val="22"/>
          <w:szCs w:val="22"/>
          <w:lang w:val="en-CA" w:eastAsia="en-CA"/>
        </w:rPr>
        <w:drawing>
          <wp:inline distT="0" distB="0" distL="0" distR="0">
            <wp:extent cx="2066925" cy="1155358"/>
            <wp:effectExtent l="19050" t="0" r="9525"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2066925" cy="1155358"/>
                    </a:xfrm>
                    <a:prstGeom prst="rect">
                      <a:avLst/>
                    </a:prstGeom>
                    <a:noFill/>
                    <a:ln w="9525">
                      <a:noFill/>
                      <a:miter lim="800000"/>
                      <a:headEnd/>
                      <a:tailEnd/>
                    </a:ln>
                  </pic:spPr>
                </pic:pic>
              </a:graphicData>
            </a:graphic>
          </wp:inline>
        </w:drawing>
      </w:r>
    </w:p>
    <w:p w:rsidR="007404A9" w:rsidRDefault="007404A9" w:rsidP="007404A9">
      <w:pPr>
        <w:pStyle w:val="Title"/>
        <w:rPr>
          <w:rFonts w:ascii="Arial" w:hAnsi="Arial" w:cs="Arial"/>
          <w:sz w:val="22"/>
          <w:szCs w:val="22"/>
        </w:rPr>
      </w:pPr>
    </w:p>
    <w:p w:rsidR="007404A9" w:rsidRDefault="007404A9" w:rsidP="007404A9">
      <w:pPr>
        <w:pStyle w:val="Title"/>
        <w:rPr>
          <w:rFonts w:ascii="Arial" w:hAnsi="Arial" w:cs="Arial"/>
          <w:sz w:val="22"/>
          <w:szCs w:val="22"/>
        </w:rPr>
      </w:pPr>
      <w:r>
        <w:rPr>
          <w:rFonts w:ascii="Arial" w:hAnsi="Arial" w:cs="Arial"/>
          <w:noProof/>
          <w:sz w:val="22"/>
          <w:szCs w:val="22"/>
          <w:lang w:val="en-CA" w:eastAsia="en-CA"/>
        </w:rPr>
        <w:drawing>
          <wp:inline distT="0" distB="0" distL="0" distR="0">
            <wp:extent cx="3000375" cy="438150"/>
            <wp:effectExtent l="19050" t="0" r="9525" b="0"/>
            <wp:docPr id="3" name="Picture 3" descr="ASBC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BClogo_k"/>
                    <pic:cNvPicPr>
                      <a:picLocks noChangeAspect="1" noChangeArrowheads="1"/>
                    </pic:cNvPicPr>
                  </pic:nvPicPr>
                  <pic:blipFill>
                    <a:blip r:embed="rId36" cstate="print"/>
                    <a:srcRect/>
                    <a:stretch>
                      <a:fillRect/>
                    </a:stretch>
                  </pic:blipFill>
                  <pic:spPr bwMode="auto">
                    <a:xfrm>
                      <a:off x="0" y="0"/>
                      <a:ext cx="3000375" cy="438150"/>
                    </a:xfrm>
                    <a:prstGeom prst="rect">
                      <a:avLst/>
                    </a:prstGeom>
                    <a:noFill/>
                    <a:ln w="9525">
                      <a:noFill/>
                      <a:miter lim="800000"/>
                      <a:headEnd/>
                      <a:tailEnd/>
                    </a:ln>
                  </pic:spPr>
                </pic:pic>
              </a:graphicData>
            </a:graphic>
          </wp:inline>
        </w:drawing>
      </w:r>
    </w:p>
    <w:p w:rsidR="007404A9" w:rsidRPr="00977C17" w:rsidRDefault="007404A9" w:rsidP="007404A9">
      <w:pPr>
        <w:pStyle w:val="Title"/>
        <w:rPr>
          <w:rFonts w:ascii="Arial" w:hAnsi="Arial" w:cs="Arial"/>
          <w:sz w:val="22"/>
          <w:szCs w:val="22"/>
          <w:u w:val="single"/>
        </w:rPr>
      </w:pPr>
    </w:p>
    <w:p w:rsidR="007404A9" w:rsidRPr="00977C17" w:rsidRDefault="007404A9" w:rsidP="007404A9">
      <w:pPr>
        <w:pStyle w:val="Title"/>
        <w:rPr>
          <w:rFonts w:ascii="Arial" w:hAnsi="Arial" w:cs="Arial"/>
          <w:sz w:val="22"/>
          <w:szCs w:val="22"/>
        </w:rPr>
      </w:pPr>
    </w:p>
    <w:p w:rsidR="007404A9" w:rsidRPr="00977C17" w:rsidRDefault="007404A9" w:rsidP="007404A9">
      <w:pPr>
        <w:pStyle w:val="Title"/>
        <w:rPr>
          <w:rFonts w:ascii="Arial" w:hAnsi="Arial" w:cs="Arial"/>
          <w:sz w:val="22"/>
          <w:szCs w:val="22"/>
        </w:rPr>
      </w:pPr>
      <w:r w:rsidRPr="00977C17">
        <w:rPr>
          <w:rFonts w:ascii="Arial" w:hAnsi="Arial" w:cs="Arial"/>
          <w:sz w:val="22"/>
          <w:szCs w:val="22"/>
        </w:rPr>
        <w:t>JOB DESCRIPTION</w:t>
      </w:r>
    </w:p>
    <w:p w:rsidR="007404A9" w:rsidRPr="00977C17" w:rsidRDefault="007404A9" w:rsidP="007404A9">
      <w:pPr>
        <w:pStyle w:val="Title"/>
        <w:pBdr>
          <w:top w:val="single" w:sz="4" w:space="1" w:color="auto"/>
        </w:pBdr>
        <w:rPr>
          <w:rFonts w:ascii="Arial" w:hAnsi="Arial" w:cs="Arial"/>
          <w:b w:val="0"/>
          <w:bCs w:val="0"/>
          <w:sz w:val="22"/>
          <w:szCs w:val="22"/>
        </w:rPr>
      </w:pPr>
    </w:p>
    <w:p w:rsidR="007404A9" w:rsidRPr="00772839" w:rsidRDefault="007404A9" w:rsidP="007404A9">
      <w:pPr>
        <w:rPr>
          <w:rFonts w:ascii="Arial" w:hAnsi="Arial" w:cs="Arial"/>
          <w:sz w:val="20"/>
          <w:szCs w:val="20"/>
        </w:rPr>
      </w:pPr>
      <w:r w:rsidRPr="00772839">
        <w:rPr>
          <w:rFonts w:ascii="Arial" w:hAnsi="Arial" w:cs="Arial"/>
          <w:b/>
          <w:bCs/>
          <w:sz w:val="20"/>
          <w:szCs w:val="20"/>
        </w:rPr>
        <w:t>Job title:</w:t>
      </w:r>
      <w:r w:rsidRPr="00772839">
        <w:rPr>
          <w:rFonts w:ascii="Arial" w:hAnsi="Arial" w:cs="Arial"/>
          <w:sz w:val="20"/>
          <w:szCs w:val="20"/>
        </w:rPr>
        <w:tab/>
      </w:r>
      <w:r w:rsidRPr="00772839">
        <w:rPr>
          <w:rFonts w:ascii="Arial" w:hAnsi="Arial" w:cs="Arial"/>
          <w:b/>
          <w:sz w:val="20"/>
          <w:szCs w:val="20"/>
        </w:rPr>
        <w:t>Volunteer Walk Committee Chair</w:t>
      </w:r>
    </w:p>
    <w:p w:rsidR="007404A9" w:rsidRPr="00772839" w:rsidRDefault="007404A9" w:rsidP="007404A9">
      <w:pPr>
        <w:rPr>
          <w:rFonts w:ascii="Arial" w:hAnsi="Arial" w:cs="Arial"/>
          <w:b/>
          <w:bCs/>
          <w:sz w:val="20"/>
          <w:szCs w:val="20"/>
        </w:rPr>
      </w:pPr>
    </w:p>
    <w:p w:rsidR="007404A9" w:rsidRPr="00772839" w:rsidRDefault="007404A9" w:rsidP="007404A9">
      <w:pPr>
        <w:rPr>
          <w:rFonts w:ascii="Arial" w:hAnsi="Arial" w:cs="Arial"/>
          <w:sz w:val="20"/>
          <w:szCs w:val="20"/>
        </w:rPr>
      </w:pPr>
      <w:r w:rsidRPr="00772839">
        <w:rPr>
          <w:rFonts w:ascii="Arial" w:hAnsi="Arial" w:cs="Arial"/>
          <w:b/>
          <w:bCs/>
          <w:sz w:val="20"/>
          <w:szCs w:val="20"/>
        </w:rPr>
        <w:t>Reports to:</w:t>
      </w:r>
      <w:r w:rsidRPr="00772839">
        <w:rPr>
          <w:rFonts w:ascii="Arial" w:hAnsi="Arial" w:cs="Arial"/>
          <w:sz w:val="20"/>
          <w:szCs w:val="20"/>
        </w:rPr>
        <w:tab/>
      </w:r>
      <w:r w:rsidRPr="00772839">
        <w:rPr>
          <w:rFonts w:ascii="Arial" w:hAnsi="Arial" w:cs="Arial"/>
          <w:b/>
          <w:bCs/>
          <w:sz w:val="20"/>
          <w:szCs w:val="20"/>
        </w:rPr>
        <w:t>Special Events Officer</w:t>
      </w:r>
    </w:p>
    <w:p w:rsidR="007404A9" w:rsidRPr="00772839" w:rsidRDefault="007404A9" w:rsidP="007404A9">
      <w:pPr>
        <w:rPr>
          <w:rFonts w:ascii="Arial" w:hAnsi="Arial" w:cs="Arial"/>
          <w:sz w:val="20"/>
          <w:szCs w:val="20"/>
        </w:rPr>
      </w:pPr>
    </w:p>
    <w:p w:rsidR="007404A9" w:rsidRPr="00772839" w:rsidRDefault="007404A9" w:rsidP="007404A9">
      <w:pPr>
        <w:rPr>
          <w:rFonts w:ascii="Arial" w:hAnsi="Arial" w:cs="Arial"/>
          <w:sz w:val="20"/>
          <w:szCs w:val="20"/>
        </w:rPr>
      </w:pPr>
      <w:r w:rsidRPr="00772839">
        <w:rPr>
          <w:rFonts w:ascii="Arial" w:hAnsi="Arial" w:cs="Arial"/>
          <w:sz w:val="20"/>
          <w:szCs w:val="20"/>
        </w:rPr>
        <w:t xml:space="preserve">The </w:t>
      </w:r>
      <w:r w:rsidRPr="00772839">
        <w:rPr>
          <w:rFonts w:ascii="Arial" w:hAnsi="Arial" w:cs="Arial"/>
          <w:b/>
          <w:i/>
          <w:sz w:val="20"/>
          <w:szCs w:val="20"/>
        </w:rPr>
        <w:t>Investors Group Walk for Memories</w:t>
      </w:r>
      <w:r w:rsidRPr="00772839">
        <w:rPr>
          <w:rFonts w:ascii="Arial" w:hAnsi="Arial" w:cs="Arial"/>
          <w:sz w:val="20"/>
          <w:szCs w:val="20"/>
        </w:rPr>
        <w:t xml:space="preserve"> is an annual fundraising event that raises funds and awareness about Alzheimer's disease and other dementias in B.C. communities. Next year's event will take place in communities across B.C. on </w:t>
      </w:r>
      <w:r w:rsidRPr="00772839">
        <w:rPr>
          <w:rFonts w:ascii="Arial" w:hAnsi="Arial" w:cs="Arial"/>
          <w:b/>
          <w:bCs/>
          <w:sz w:val="20"/>
          <w:szCs w:val="20"/>
        </w:rPr>
        <w:t>January 2</w:t>
      </w:r>
      <w:r>
        <w:rPr>
          <w:rFonts w:ascii="Arial" w:hAnsi="Arial" w:cs="Arial"/>
          <w:b/>
          <w:bCs/>
          <w:sz w:val="20"/>
          <w:szCs w:val="20"/>
        </w:rPr>
        <w:t>5</w:t>
      </w:r>
      <w:r w:rsidRPr="00772839">
        <w:rPr>
          <w:rFonts w:ascii="Arial" w:hAnsi="Arial" w:cs="Arial"/>
          <w:b/>
          <w:bCs/>
          <w:sz w:val="20"/>
          <w:szCs w:val="20"/>
        </w:rPr>
        <w:t>, 201</w:t>
      </w:r>
      <w:r>
        <w:rPr>
          <w:rFonts w:ascii="Arial" w:hAnsi="Arial" w:cs="Arial"/>
          <w:b/>
          <w:bCs/>
          <w:sz w:val="20"/>
          <w:szCs w:val="20"/>
        </w:rPr>
        <w:t>5</w:t>
      </w:r>
      <w:r w:rsidRPr="00772839">
        <w:rPr>
          <w:rFonts w:ascii="Arial" w:hAnsi="Arial" w:cs="Arial"/>
          <w:sz w:val="20"/>
          <w:szCs w:val="20"/>
        </w:rPr>
        <w:t>, as part of </w:t>
      </w:r>
      <w:r w:rsidRPr="00772839">
        <w:rPr>
          <w:rFonts w:ascii="Arial" w:hAnsi="Arial" w:cs="Arial"/>
          <w:bCs/>
          <w:i/>
          <w:sz w:val="20"/>
          <w:szCs w:val="20"/>
        </w:rPr>
        <w:t>National Alzheimer</w:t>
      </w:r>
      <w:r w:rsidRPr="00772839">
        <w:rPr>
          <w:rFonts w:ascii="Arial" w:hAnsi="Arial" w:cs="Arial"/>
          <w:b/>
          <w:bCs/>
          <w:sz w:val="20"/>
          <w:szCs w:val="20"/>
        </w:rPr>
        <w:t xml:space="preserve"> </w:t>
      </w:r>
      <w:r w:rsidRPr="00772839">
        <w:rPr>
          <w:rFonts w:ascii="Arial" w:hAnsi="Arial" w:cs="Arial"/>
          <w:i/>
          <w:sz w:val="20"/>
          <w:szCs w:val="20"/>
        </w:rPr>
        <w:t xml:space="preserve">Groups Walk </w:t>
      </w:r>
      <w:r w:rsidRPr="00772839">
        <w:rPr>
          <w:rFonts w:ascii="Arial" w:hAnsi="Arial" w:cs="Arial"/>
          <w:sz w:val="20"/>
          <w:szCs w:val="20"/>
        </w:rPr>
        <w:t>and it will ensure that Alzheimer Society of B.C. programs and services are available for more than 70,000 people in British Columbia who are living with Alzheimer's disease or other dementias.</w:t>
      </w:r>
    </w:p>
    <w:p w:rsidR="007404A9" w:rsidRPr="00772839" w:rsidRDefault="007404A9" w:rsidP="007404A9">
      <w:pPr>
        <w:rPr>
          <w:rFonts w:ascii="Arial" w:hAnsi="Arial" w:cs="Arial"/>
          <w:b/>
          <w:bCs/>
          <w:sz w:val="20"/>
          <w:szCs w:val="20"/>
        </w:rPr>
      </w:pPr>
    </w:p>
    <w:p w:rsidR="007404A9" w:rsidRPr="00772839" w:rsidRDefault="007404A9" w:rsidP="007404A9">
      <w:pPr>
        <w:rPr>
          <w:rFonts w:ascii="Arial" w:hAnsi="Arial" w:cs="Arial"/>
          <w:b/>
          <w:bCs/>
          <w:sz w:val="20"/>
          <w:szCs w:val="20"/>
        </w:rPr>
      </w:pPr>
      <w:r w:rsidRPr="00772839">
        <w:rPr>
          <w:rFonts w:ascii="Arial" w:hAnsi="Arial" w:cs="Arial"/>
          <w:b/>
          <w:bCs/>
          <w:sz w:val="20"/>
          <w:szCs w:val="20"/>
        </w:rPr>
        <w:t xml:space="preserve">Job Summary:   </w:t>
      </w:r>
    </w:p>
    <w:p w:rsidR="007404A9" w:rsidRPr="00772839" w:rsidRDefault="007404A9" w:rsidP="007404A9">
      <w:pPr>
        <w:rPr>
          <w:rFonts w:ascii="Arial" w:hAnsi="Arial" w:cs="Arial"/>
          <w:b/>
          <w:bCs/>
          <w:sz w:val="20"/>
          <w:szCs w:val="20"/>
        </w:rPr>
      </w:pPr>
    </w:p>
    <w:p w:rsidR="007404A9" w:rsidRPr="00772839" w:rsidRDefault="007404A9" w:rsidP="007404A9">
      <w:pPr>
        <w:rPr>
          <w:rFonts w:ascii="Arial" w:hAnsi="Arial" w:cs="Arial"/>
          <w:sz w:val="20"/>
          <w:szCs w:val="20"/>
        </w:rPr>
      </w:pPr>
      <w:r w:rsidRPr="00772839">
        <w:rPr>
          <w:rFonts w:ascii="Arial" w:hAnsi="Arial" w:cs="Arial"/>
          <w:sz w:val="20"/>
          <w:szCs w:val="20"/>
        </w:rPr>
        <w:lastRenderedPageBreak/>
        <w:t xml:space="preserve">Responsible for leading and motivating a volunteer committee which in turn, is responsible for the successful staging of the </w:t>
      </w:r>
      <w:r w:rsidRPr="00772839">
        <w:rPr>
          <w:rFonts w:ascii="Arial" w:hAnsi="Arial" w:cs="Arial"/>
          <w:b/>
          <w:i/>
          <w:sz w:val="20"/>
          <w:szCs w:val="20"/>
        </w:rPr>
        <w:t>Investors Group Walk for Memories</w:t>
      </w:r>
      <w:r w:rsidRPr="00772839">
        <w:rPr>
          <w:rFonts w:ascii="Arial" w:hAnsi="Arial" w:cs="Arial"/>
          <w:sz w:val="20"/>
          <w:szCs w:val="20"/>
        </w:rPr>
        <w:t xml:space="preserve"> fundraising event on January 2</w:t>
      </w:r>
      <w:r>
        <w:rPr>
          <w:rFonts w:ascii="Arial" w:hAnsi="Arial" w:cs="Arial"/>
          <w:sz w:val="20"/>
          <w:szCs w:val="20"/>
        </w:rPr>
        <w:t>5</w:t>
      </w:r>
      <w:r w:rsidRPr="00772839">
        <w:rPr>
          <w:rFonts w:ascii="Arial" w:hAnsi="Arial" w:cs="Arial"/>
          <w:sz w:val="20"/>
          <w:szCs w:val="20"/>
        </w:rPr>
        <w:t>, 201</w:t>
      </w:r>
      <w:r>
        <w:rPr>
          <w:rFonts w:ascii="Arial" w:hAnsi="Arial" w:cs="Arial"/>
          <w:sz w:val="20"/>
          <w:szCs w:val="20"/>
        </w:rPr>
        <w:t>5</w:t>
      </w:r>
      <w:r w:rsidRPr="00772839">
        <w:rPr>
          <w:rFonts w:ascii="Arial" w:hAnsi="Arial" w:cs="Arial"/>
          <w:sz w:val="20"/>
          <w:szCs w:val="20"/>
        </w:rPr>
        <w:t xml:space="preserve"> in your community. </w:t>
      </w:r>
    </w:p>
    <w:p w:rsidR="007404A9" w:rsidRPr="00772839" w:rsidRDefault="007404A9" w:rsidP="007404A9">
      <w:pPr>
        <w:rPr>
          <w:rFonts w:ascii="Arial" w:hAnsi="Arial" w:cs="Arial"/>
          <w:sz w:val="20"/>
          <w:szCs w:val="20"/>
        </w:rPr>
      </w:pPr>
    </w:p>
    <w:p w:rsidR="007404A9" w:rsidRPr="00772839" w:rsidRDefault="007404A9" w:rsidP="007404A9">
      <w:pPr>
        <w:rPr>
          <w:rFonts w:ascii="Arial" w:hAnsi="Arial" w:cs="Arial"/>
          <w:b/>
          <w:bCs/>
          <w:sz w:val="20"/>
          <w:szCs w:val="20"/>
        </w:rPr>
      </w:pPr>
      <w:r w:rsidRPr="00772839">
        <w:rPr>
          <w:rFonts w:ascii="Arial" w:hAnsi="Arial" w:cs="Arial"/>
          <w:b/>
          <w:bCs/>
          <w:sz w:val="20"/>
          <w:szCs w:val="20"/>
        </w:rPr>
        <w:t>Key Responsibilities:</w:t>
      </w:r>
    </w:p>
    <w:p w:rsidR="007404A9" w:rsidRPr="00772839" w:rsidRDefault="007404A9" w:rsidP="007404A9">
      <w:pPr>
        <w:numPr>
          <w:ilvl w:val="0"/>
          <w:numId w:val="8"/>
        </w:numPr>
        <w:spacing w:line="240" w:lineRule="auto"/>
        <w:rPr>
          <w:rFonts w:ascii="Arial" w:hAnsi="Arial" w:cs="Arial"/>
          <w:bCs/>
          <w:sz w:val="20"/>
          <w:szCs w:val="20"/>
        </w:rPr>
      </w:pPr>
      <w:r w:rsidRPr="00772839">
        <w:rPr>
          <w:rFonts w:ascii="Arial" w:hAnsi="Arial" w:cs="Arial"/>
          <w:bCs/>
          <w:sz w:val="20"/>
          <w:szCs w:val="20"/>
        </w:rPr>
        <w:t>Maintaining regular contact with the Special Events Officer for feedback, instruction and support</w:t>
      </w:r>
    </w:p>
    <w:p w:rsidR="007404A9" w:rsidRPr="00772839" w:rsidRDefault="007404A9" w:rsidP="007404A9">
      <w:pPr>
        <w:numPr>
          <w:ilvl w:val="0"/>
          <w:numId w:val="8"/>
        </w:numPr>
        <w:spacing w:line="240" w:lineRule="auto"/>
        <w:rPr>
          <w:rFonts w:ascii="Arial" w:hAnsi="Arial" w:cs="Arial"/>
          <w:bCs/>
          <w:sz w:val="20"/>
          <w:szCs w:val="20"/>
        </w:rPr>
      </w:pPr>
      <w:r w:rsidRPr="00772839">
        <w:rPr>
          <w:rFonts w:ascii="Arial" w:hAnsi="Arial" w:cs="Arial"/>
          <w:bCs/>
          <w:sz w:val="20"/>
          <w:szCs w:val="20"/>
        </w:rPr>
        <w:t>Reviewing and becoming familiar with  guidelines as set out by the Society and as communicated by the Special Events Officer</w:t>
      </w:r>
    </w:p>
    <w:p w:rsidR="007404A9" w:rsidRPr="00772839" w:rsidRDefault="007404A9" w:rsidP="007404A9">
      <w:pPr>
        <w:numPr>
          <w:ilvl w:val="0"/>
          <w:numId w:val="8"/>
        </w:numPr>
        <w:spacing w:line="240" w:lineRule="auto"/>
        <w:rPr>
          <w:rFonts w:ascii="Arial" w:hAnsi="Arial" w:cs="Arial"/>
          <w:bCs/>
          <w:sz w:val="20"/>
          <w:szCs w:val="20"/>
        </w:rPr>
      </w:pPr>
      <w:r w:rsidRPr="00772839">
        <w:rPr>
          <w:rFonts w:ascii="Arial" w:hAnsi="Arial" w:cs="Arial"/>
          <w:bCs/>
          <w:sz w:val="20"/>
          <w:szCs w:val="20"/>
        </w:rPr>
        <w:t>Attending annual training workshops for Walk Chairs</w:t>
      </w:r>
    </w:p>
    <w:p w:rsidR="007404A9" w:rsidRPr="00772839" w:rsidRDefault="007404A9" w:rsidP="007404A9">
      <w:pPr>
        <w:numPr>
          <w:ilvl w:val="0"/>
          <w:numId w:val="8"/>
        </w:numPr>
        <w:spacing w:line="240" w:lineRule="auto"/>
        <w:rPr>
          <w:rFonts w:ascii="Arial" w:hAnsi="Arial" w:cs="Arial"/>
          <w:bCs/>
          <w:sz w:val="20"/>
          <w:szCs w:val="20"/>
        </w:rPr>
      </w:pPr>
      <w:r w:rsidRPr="00772839">
        <w:rPr>
          <w:rFonts w:ascii="Arial" w:hAnsi="Arial" w:cs="Arial"/>
          <w:bCs/>
          <w:sz w:val="20"/>
          <w:szCs w:val="20"/>
        </w:rPr>
        <w:t xml:space="preserve">Recruit a team of volunteers to form the </w:t>
      </w:r>
      <w:r w:rsidRPr="00772839">
        <w:rPr>
          <w:rFonts w:ascii="Arial" w:hAnsi="Arial" w:cs="Arial"/>
          <w:bCs/>
          <w:i/>
          <w:sz w:val="20"/>
          <w:szCs w:val="20"/>
        </w:rPr>
        <w:t>Investors Groups Walk for Memories</w:t>
      </w:r>
      <w:r w:rsidRPr="00772839">
        <w:rPr>
          <w:rFonts w:ascii="Arial" w:hAnsi="Arial" w:cs="Arial"/>
          <w:bCs/>
          <w:sz w:val="20"/>
          <w:szCs w:val="20"/>
        </w:rPr>
        <w:t xml:space="preserve"> Volunteer planning committee</w:t>
      </w:r>
    </w:p>
    <w:p w:rsidR="007404A9" w:rsidRPr="00772839" w:rsidRDefault="007404A9" w:rsidP="007404A9">
      <w:pPr>
        <w:numPr>
          <w:ilvl w:val="0"/>
          <w:numId w:val="8"/>
        </w:numPr>
        <w:spacing w:line="240" w:lineRule="auto"/>
        <w:rPr>
          <w:rFonts w:ascii="Arial" w:hAnsi="Arial" w:cs="Arial"/>
          <w:bCs/>
          <w:sz w:val="20"/>
          <w:szCs w:val="20"/>
        </w:rPr>
      </w:pPr>
      <w:r w:rsidRPr="00772839">
        <w:rPr>
          <w:rFonts w:ascii="Arial" w:hAnsi="Arial" w:cs="Arial"/>
          <w:bCs/>
          <w:sz w:val="20"/>
          <w:szCs w:val="20"/>
        </w:rPr>
        <w:t>Acting as liaison between the Special Events Officer and the volunteer committee</w:t>
      </w:r>
    </w:p>
    <w:p w:rsidR="007404A9" w:rsidRPr="00772839" w:rsidRDefault="007404A9" w:rsidP="007404A9">
      <w:pPr>
        <w:numPr>
          <w:ilvl w:val="0"/>
          <w:numId w:val="8"/>
        </w:numPr>
        <w:spacing w:line="240" w:lineRule="auto"/>
        <w:rPr>
          <w:rFonts w:ascii="Arial" w:hAnsi="Arial" w:cs="Arial"/>
          <w:bCs/>
          <w:sz w:val="20"/>
          <w:szCs w:val="20"/>
        </w:rPr>
      </w:pPr>
      <w:r w:rsidRPr="00772839">
        <w:rPr>
          <w:rFonts w:ascii="Arial" w:hAnsi="Arial" w:cs="Arial"/>
          <w:bCs/>
          <w:sz w:val="20"/>
          <w:szCs w:val="20"/>
        </w:rPr>
        <w:t>Ensuring committee members are familiar with guidelines</w:t>
      </w:r>
    </w:p>
    <w:p w:rsidR="007404A9" w:rsidRPr="00772839" w:rsidRDefault="007404A9" w:rsidP="007404A9">
      <w:pPr>
        <w:numPr>
          <w:ilvl w:val="0"/>
          <w:numId w:val="8"/>
        </w:numPr>
        <w:spacing w:line="240" w:lineRule="auto"/>
        <w:rPr>
          <w:rFonts w:ascii="Arial" w:hAnsi="Arial" w:cs="Arial"/>
          <w:bCs/>
          <w:sz w:val="20"/>
          <w:szCs w:val="20"/>
        </w:rPr>
      </w:pPr>
      <w:r w:rsidRPr="00772839">
        <w:rPr>
          <w:rFonts w:ascii="Arial" w:hAnsi="Arial" w:cs="Arial"/>
          <w:bCs/>
          <w:sz w:val="20"/>
          <w:szCs w:val="20"/>
        </w:rPr>
        <w:t>Motivating, supporting and assisting volunteer planning committee members with their roles</w:t>
      </w:r>
    </w:p>
    <w:p w:rsidR="007404A9" w:rsidRPr="00772839" w:rsidRDefault="007404A9" w:rsidP="007404A9">
      <w:pPr>
        <w:numPr>
          <w:ilvl w:val="0"/>
          <w:numId w:val="8"/>
        </w:numPr>
        <w:spacing w:line="240" w:lineRule="auto"/>
        <w:rPr>
          <w:rFonts w:ascii="Arial" w:hAnsi="Arial" w:cs="Arial"/>
          <w:bCs/>
          <w:sz w:val="20"/>
          <w:szCs w:val="20"/>
        </w:rPr>
      </w:pPr>
      <w:r w:rsidRPr="00772839">
        <w:rPr>
          <w:rFonts w:ascii="Arial" w:hAnsi="Arial" w:cs="Arial"/>
          <w:bCs/>
          <w:sz w:val="20"/>
          <w:szCs w:val="20"/>
        </w:rPr>
        <w:t>With the committee, establishing a fundraising goal for the event</w:t>
      </w:r>
    </w:p>
    <w:p w:rsidR="007404A9" w:rsidRPr="00772839" w:rsidRDefault="007404A9" w:rsidP="007404A9">
      <w:pPr>
        <w:numPr>
          <w:ilvl w:val="0"/>
          <w:numId w:val="8"/>
        </w:numPr>
        <w:spacing w:line="240" w:lineRule="auto"/>
        <w:rPr>
          <w:rFonts w:ascii="Arial" w:hAnsi="Arial" w:cs="Arial"/>
          <w:bCs/>
          <w:sz w:val="20"/>
          <w:szCs w:val="20"/>
        </w:rPr>
      </w:pPr>
      <w:r w:rsidRPr="00772839">
        <w:rPr>
          <w:rFonts w:ascii="Arial" w:hAnsi="Arial" w:cs="Arial"/>
          <w:bCs/>
          <w:sz w:val="20"/>
          <w:szCs w:val="20"/>
        </w:rPr>
        <w:t>Participating in regular conference calls with Volunteer Walk Chairs and the Special Events Officer</w:t>
      </w:r>
    </w:p>
    <w:p w:rsidR="007404A9" w:rsidRPr="00772839" w:rsidRDefault="007404A9" w:rsidP="007404A9">
      <w:pPr>
        <w:numPr>
          <w:ilvl w:val="0"/>
          <w:numId w:val="8"/>
        </w:numPr>
        <w:spacing w:line="240" w:lineRule="auto"/>
        <w:rPr>
          <w:rFonts w:ascii="Arial" w:hAnsi="Arial" w:cs="Arial"/>
          <w:bCs/>
          <w:sz w:val="20"/>
          <w:szCs w:val="20"/>
        </w:rPr>
      </w:pPr>
      <w:r w:rsidRPr="00772839">
        <w:rPr>
          <w:rFonts w:ascii="Arial" w:hAnsi="Arial" w:cs="Arial"/>
          <w:bCs/>
          <w:sz w:val="20"/>
          <w:szCs w:val="20"/>
        </w:rPr>
        <w:t xml:space="preserve">Overseeing the </w:t>
      </w:r>
      <w:r w:rsidRPr="00772839">
        <w:rPr>
          <w:rFonts w:ascii="Arial" w:hAnsi="Arial" w:cs="Arial"/>
          <w:bCs/>
          <w:i/>
          <w:sz w:val="20"/>
          <w:szCs w:val="20"/>
        </w:rPr>
        <w:t>Investors Group Walk</w:t>
      </w:r>
      <w:r w:rsidRPr="00772839">
        <w:rPr>
          <w:rFonts w:ascii="Arial" w:hAnsi="Arial" w:cs="Arial"/>
          <w:bCs/>
          <w:sz w:val="20"/>
          <w:szCs w:val="20"/>
        </w:rPr>
        <w:t xml:space="preserve"> for Memories event timeline</w:t>
      </w:r>
    </w:p>
    <w:p w:rsidR="007404A9" w:rsidRPr="00772839" w:rsidRDefault="007404A9" w:rsidP="007404A9">
      <w:pPr>
        <w:numPr>
          <w:ilvl w:val="0"/>
          <w:numId w:val="8"/>
        </w:numPr>
        <w:spacing w:line="240" w:lineRule="auto"/>
        <w:rPr>
          <w:rFonts w:ascii="Arial" w:hAnsi="Arial" w:cs="Arial"/>
          <w:bCs/>
          <w:sz w:val="20"/>
          <w:szCs w:val="20"/>
        </w:rPr>
      </w:pPr>
      <w:r w:rsidRPr="00772839">
        <w:rPr>
          <w:rFonts w:ascii="Arial" w:hAnsi="Arial" w:cs="Arial"/>
          <w:bCs/>
          <w:sz w:val="20"/>
          <w:szCs w:val="20"/>
        </w:rPr>
        <w:t>Ensuring all funds/ materials/  reports are submitted appropriately</w:t>
      </w:r>
    </w:p>
    <w:p w:rsidR="007404A9" w:rsidRPr="007404A9" w:rsidRDefault="007404A9" w:rsidP="007404A9">
      <w:pPr>
        <w:numPr>
          <w:ilvl w:val="0"/>
          <w:numId w:val="8"/>
        </w:numPr>
        <w:spacing w:line="240" w:lineRule="auto"/>
        <w:rPr>
          <w:rFonts w:ascii="Arial" w:hAnsi="Arial" w:cs="Arial"/>
          <w:bCs/>
          <w:sz w:val="20"/>
          <w:szCs w:val="20"/>
        </w:rPr>
      </w:pPr>
      <w:r w:rsidRPr="00772839">
        <w:rPr>
          <w:rFonts w:ascii="Arial" w:hAnsi="Arial" w:cs="Arial"/>
          <w:bCs/>
          <w:sz w:val="20"/>
          <w:szCs w:val="20"/>
        </w:rPr>
        <w:t>Gather volunteer time-tracking forms from committee</w:t>
      </w:r>
    </w:p>
    <w:p w:rsidR="007404A9" w:rsidRPr="00772839" w:rsidRDefault="007404A9" w:rsidP="007404A9">
      <w:pPr>
        <w:numPr>
          <w:ilvl w:val="0"/>
          <w:numId w:val="8"/>
        </w:numPr>
        <w:spacing w:line="240" w:lineRule="auto"/>
        <w:rPr>
          <w:rFonts w:ascii="Arial" w:hAnsi="Arial" w:cs="Arial"/>
          <w:bCs/>
          <w:sz w:val="20"/>
          <w:szCs w:val="20"/>
        </w:rPr>
      </w:pPr>
      <w:r w:rsidRPr="00772839">
        <w:rPr>
          <w:rFonts w:ascii="Arial" w:hAnsi="Arial" w:cs="Arial"/>
          <w:bCs/>
          <w:sz w:val="20"/>
          <w:szCs w:val="20"/>
        </w:rPr>
        <w:t>Submitting all deposit and pledge forms and financial reports to Alzheimer Society of B.C.</w:t>
      </w:r>
    </w:p>
    <w:p w:rsidR="007404A9" w:rsidRPr="00772839" w:rsidRDefault="007404A9" w:rsidP="007404A9">
      <w:pPr>
        <w:numPr>
          <w:ilvl w:val="0"/>
          <w:numId w:val="8"/>
        </w:numPr>
        <w:spacing w:line="240" w:lineRule="auto"/>
        <w:rPr>
          <w:rFonts w:ascii="Arial" w:hAnsi="Arial" w:cs="Arial"/>
          <w:bCs/>
          <w:sz w:val="20"/>
          <w:szCs w:val="20"/>
        </w:rPr>
      </w:pPr>
      <w:r w:rsidRPr="00772839">
        <w:rPr>
          <w:rFonts w:ascii="Arial" w:hAnsi="Arial" w:cs="Arial"/>
          <w:bCs/>
          <w:sz w:val="20"/>
          <w:szCs w:val="20"/>
        </w:rPr>
        <w:t>Ensuring volunteers and sponsors are thanked.</w:t>
      </w:r>
    </w:p>
    <w:p w:rsidR="007404A9" w:rsidRPr="00772839" w:rsidRDefault="007404A9" w:rsidP="007404A9">
      <w:pPr>
        <w:ind w:left="1080"/>
        <w:rPr>
          <w:rFonts w:ascii="Arial" w:hAnsi="Arial" w:cs="Arial"/>
          <w:sz w:val="20"/>
          <w:szCs w:val="20"/>
        </w:rPr>
      </w:pPr>
    </w:p>
    <w:p w:rsidR="007404A9" w:rsidRPr="00772839" w:rsidRDefault="007404A9" w:rsidP="007404A9">
      <w:pPr>
        <w:pStyle w:val="ListParagraph"/>
        <w:jc w:val="both"/>
        <w:rPr>
          <w:rFonts w:ascii="Arial" w:hAnsi="Arial" w:cs="Arial"/>
          <w:color w:val="000000"/>
          <w:sz w:val="20"/>
          <w:szCs w:val="20"/>
        </w:rPr>
      </w:pPr>
      <w:r w:rsidRPr="00772839">
        <w:rPr>
          <w:rFonts w:ascii="Arial" w:hAnsi="Arial" w:cs="Arial"/>
          <w:color w:val="000000"/>
          <w:sz w:val="20"/>
          <w:szCs w:val="20"/>
        </w:rPr>
        <w:t xml:space="preserve">NOTE:  Occasional overtime (evenings and weekends) may be required. </w:t>
      </w:r>
    </w:p>
    <w:p w:rsidR="007404A9" w:rsidRPr="00772839" w:rsidRDefault="007404A9" w:rsidP="007404A9">
      <w:pPr>
        <w:pStyle w:val="ListParagraph"/>
        <w:jc w:val="both"/>
        <w:rPr>
          <w:rFonts w:ascii="Arial" w:hAnsi="Arial" w:cs="Arial"/>
          <w:color w:val="000000"/>
          <w:sz w:val="20"/>
          <w:szCs w:val="20"/>
        </w:rPr>
      </w:pPr>
    </w:p>
    <w:p w:rsidR="007404A9" w:rsidRPr="005333A0" w:rsidRDefault="007404A9" w:rsidP="005333A0">
      <w:pPr>
        <w:pStyle w:val="Heading2"/>
        <w:rPr>
          <w:rFonts w:ascii="Arial" w:hAnsi="Arial" w:cs="Arial"/>
          <w:sz w:val="20"/>
          <w:szCs w:val="20"/>
          <w:u w:val="none"/>
        </w:rPr>
      </w:pPr>
      <w:r w:rsidRPr="00772839">
        <w:rPr>
          <w:rFonts w:ascii="Arial" w:hAnsi="Arial" w:cs="Arial"/>
          <w:b/>
          <w:bCs/>
          <w:sz w:val="20"/>
          <w:szCs w:val="20"/>
          <w:u w:val="none"/>
        </w:rPr>
        <w:t>Qualification and Skills:</w:t>
      </w:r>
    </w:p>
    <w:p w:rsidR="007404A9" w:rsidRPr="00772839" w:rsidRDefault="007404A9" w:rsidP="007404A9">
      <w:pPr>
        <w:numPr>
          <w:ilvl w:val="0"/>
          <w:numId w:val="6"/>
        </w:numPr>
        <w:tabs>
          <w:tab w:val="left" w:pos="2822"/>
          <w:tab w:val="left" w:pos="3088"/>
        </w:tabs>
        <w:suppressAutoHyphens/>
        <w:spacing w:line="240" w:lineRule="auto"/>
        <w:jc w:val="both"/>
        <w:rPr>
          <w:rFonts w:ascii="Arial" w:hAnsi="Arial" w:cs="Arial"/>
          <w:sz w:val="20"/>
          <w:szCs w:val="20"/>
        </w:rPr>
      </w:pPr>
      <w:r w:rsidRPr="00772839">
        <w:rPr>
          <w:rFonts w:ascii="Arial" w:hAnsi="Arial" w:cs="Arial"/>
          <w:sz w:val="20"/>
          <w:szCs w:val="20"/>
        </w:rPr>
        <w:t>Three to five years of successful related fundraising experience with demonstrated knowledge and expertise in relationship</w:t>
      </w:r>
      <w:r w:rsidRPr="00772839">
        <w:rPr>
          <w:rFonts w:ascii="Arial" w:hAnsi="Arial" w:cs="Arial"/>
          <w:b/>
          <w:spacing w:val="-3"/>
          <w:sz w:val="20"/>
          <w:szCs w:val="20"/>
        </w:rPr>
        <w:t xml:space="preserve"> </w:t>
      </w:r>
      <w:r w:rsidRPr="00772839">
        <w:rPr>
          <w:rFonts w:ascii="Arial" w:hAnsi="Arial" w:cs="Arial"/>
          <w:sz w:val="20"/>
          <w:szCs w:val="20"/>
        </w:rPr>
        <w:t>building (corporate and marketing experience an asset)</w:t>
      </w:r>
    </w:p>
    <w:p w:rsidR="007404A9" w:rsidRPr="00772839" w:rsidRDefault="007404A9" w:rsidP="007404A9">
      <w:pPr>
        <w:numPr>
          <w:ilvl w:val="0"/>
          <w:numId w:val="7"/>
        </w:numPr>
        <w:tabs>
          <w:tab w:val="left" w:pos="2822"/>
          <w:tab w:val="left" w:pos="3088"/>
        </w:tabs>
        <w:suppressAutoHyphens/>
        <w:spacing w:line="240" w:lineRule="auto"/>
        <w:jc w:val="both"/>
        <w:rPr>
          <w:rFonts w:ascii="Arial" w:hAnsi="Arial" w:cs="Arial"/>
          <w:sz w:val="20"/>
          <w:szCs w:val="20"/>
        </w:rPr>
      </w:pPr>
      <w:r w:rsidRPr="00772839">
        <w:rPr>
          <w:rFonts w:ascii="Arial" w:hAnsi="Arial" w:cs="Arial"/>
          <w:sz w:val="20"/>
          <w:szCs w:val="20"/>
        </w:rPr>
        <w:t>Ability to work effectively with senior volunteers and experience working with volunteer committees</w:t>
      </w:r>
    </w:p>
    <w:p w:rsidR="007404A9" w:rsidRPr="00772839" w:rsidRDefault="007404A9" w:rsidP="007404A9">
      <w:pPr>
        <w:numPr>
          <w:ilvl w:val="0"/>
          <w:numId w:val="7"/>
        </w:numPr>
        <w:tabs>
          <w:tab w:val="left" w:pos="2822"/>
          <w:tab w:val="left" w:pos="3088"/>
        </w:tabs>
        <w:suppressAutoHyphens/>
        <w:spacing w:line="240" w:lineRule="auto"/>
        <w:jc w:val="both"/>
        <w:rPr>
          <w:rFonts w:ascii="Arial" w:hAnsi="Arial" w:cs="Arial"/>
          <w:sz w:val="20"/>
          <w:szCs w:val="20"/>
        </w:rPr>
      </w:pPr>
      <w:r w:rsidRPr="00772839">
        <w:rPr>
          <w:rFonts w:ascii="Arial" w:hAnsi="Arial" w:cs="Arial"/>
          <w:sz w:val="20"/>
          <w:szCs w:val="20"/>
        </w:rPr>
        <w:t>Superior customer service skills</w:t>
      </w:r>
    </w:p>
    <w:p w:rsidR="007404A9" w:rsidRPr="00772839" w:rsidRDefault="007404A9" w:rsidP="007404A9">
      <w:pPr>
        <w:numPr>
          <w:ilvl w:val="0"/>
          <w:numId w:val="7"/>
        </w:numPr>
        <w:tabs>
          <w:tab w:val="left" w:pos="2822"/>
          <w:tab w:val="left" w:pos="3088"/>
        </w:tabs>
        <w:suppressAutoHyphens/>
        <w:spacing w:line="240" w:lineRule="auto"/>
        <w:jc w:val="both"/>
        <w:rPr>
          <w:rFonts w:ascii="Arial" w:hAnsi="Arial" w:cs="Arial"/>
          <w:sz w:val="20"/>
          <w:szCs w:val="20"/>
        </w:rPr>
      </w:pPr>
      <w:r w:rsidRPr="00772839">
        <w:rPr>
          <w:rFonts w:ascii="Arial" w:hAnsi="Arial" w:cs="Arial"/>
          <w:sz w:val="20"/>
          <w:szCs w:val="20"/>
        </w:rPr>
        <w:t xml:space="preserve">Initiative, problem solving skills </w:t>
      </w:r>
    </w:p>
    <w:p w:rsidR="007404A9" w:rsidRPr="00772839" w:rsidRDefault="007404A9" w:rsidP="007404A9">
      <w:pPr>
        <w:numPr>
          <w:ilvl w:val="0"/>
          <w:numId w:val="7"/>
        </w:numPr>
        <w:tabs>
          <w:tab w:val="left" w:pos="2822"/>
          <w:tab w:val="left" w:pos="3088"/>
        </w:tabs>
        <w:suppressAutoHyphens/>
        <w:spacing w:line="240" w:lineRule="auto"/>
        <w:jc w:val="both"/>
        <w:rPr>
          <w:rFonts w:ascii="Arial" w:hAnsi="Arial" w:cs="Arial"/>
          <w:sz w:val="20"/>
          <w:szCs w:val="20"/>
        </w:rPr>
      </w:pPr>
      <w:r w:rsidRPr="00772839">
        <w:rPr>
          <w:rFonts w:ascii="Arial" w:hAnsi="Arial" w:cs="Arial"/>
          <w:sz w:val="20"/>
          <w:szCs w:val="20"/>
        </w:rPr>
        <w:t>Strong organizational skills</w:t>
      </w:r>
    </w:p>
    <w:p w:rsidR="007404A9" w:rsidRPr="00772839" w:rsidRDefault="007404A9" w:rsidP="007404A9">
      <w:pPr>
        <w:numPr>
          <w:ilvl w:val="0"/>
          <w:numId w:val="7"/>
        </w:numPr>
        <w:tabs>
          <w:tab w:val="left" w:pos="2822"/>
          <w:tab w:val="left" w:pos="3088"/>
        </w:tabs>
        <w:suppressAutoHyphens/>
        <w:spacing w:line="240" w:lineRule="auto"/>
        <w:jc w:val="both"/>
        <w:rPr>
          <w:rFonts w:ascii="Arial" w:hAnsi="Arial" w:cs="Arial"/>
          <w:sz w:val="20"/>
          <w:szCs w:val="20"/>
        </w:rPr>
      </w:pPr>
      <w:r w:rsidRPr="00772839">
        <w:rPr>
          <w:rFonts w:ascii="Arial" w:hAnsi="Arial" w:cs="Arial"/>
          <w:sz w:val="20"/>
          <w:szCs w:val="20"/>
        </w:rPr>
        <w:t>Strong communication skills</w:t>
      </w:r>
    </w:p>
    <w:p w:rsidR="007404A9" w:rsidRPr="00772839" w:rsidRDefault="007404A9" w:rsidP="007404A9">
      <w:pPr>
        <w:numPr>
          <w:ilvl w:val="0"/>
          <w:numId w:val="7"/>
        </w:numPr>
        <w:tabs>
          <w:tab w:val="left" w:pos="2822"/>
          <w:tab w:val="left" w:pos="3088"/>
        </w:tabs>
        <w:suppressAutoHyphens/>
        <w:spacing w:line="240" w:lineRule="auto"/>
        <w:rPr>
          <w:rFonts w:ascii="Arial" w:hAnsi="Arial" w:cs="Arial"/>
          <w:sz w:val="20"/>
          <w:szCs w:val="20"/>
        </w:rPr>
      </w:pPr>
      <w:r w:rsidRPr="00772839">
        <w:rPr>
          <w:rFonts w:ascii="Arial" w:hAnsi="Arial" w:cs="Arial"/>
          <w:sz w:val="20"/>
          <w:szCs w:val="20"/>
        </w:rPr>
        <w:t>Flexibility and ability to work under pressure to meet deadlines</w:t>
      </w:r>
    </w:p>
    <w:p w:rsidR="007404A9" w:rsidRPr="00772839" w:rsidRDefault="007404A9" w:rsidP="007404A9">
      <w:pPr>
        <w:tabs>
          <w:tab w:val="left" w:pos="2822"/>
          <w:tab w:val="left" w:pos="3088"/>
        </w:tabs>
        <w:suppressAutoHyphens/>
        <w:rPr>
          <w:rFonts w:ascii="Arial" w:hAnsi="Arial" w:cs="Arial"/>
          <w:sz w:val="20"/>
          <w:szCs w:val="20"/>
        </w:rPr>
      </w:pPr>
    </w:p>
    <w:p w:rsidR="007404A9" w:rsidRPr="00772839" w:rsidRDefault="007404A9" w:rsidP="007404A9">
      <w:pPr>
        <w:rPr>
          <w:rFonts w:ascii="Arial" w:hAnsi="Arial" w:cs="Arial"/>
          <w:b/>
          <w:bCs/>
          <w:sz w:val="20"/>
          <w:szCs w:val="20"/>
        </w:rPr>
      </w:pPr>
      <w:r w:rsidRPr="00772839">
        <w:rPr>
          <w:rFonts w:ascii="Arial" w:hAnsi="Arial" w:cs="Arial"/>
          <w:b/>
          <w:bCs/>
          <w:sz w:val="20"/>
          <w:szCs w:val="20"/>
        </w:rPr>
        <w:t>Position Type:</w:t>
      </w:r>
    </w:p>
    <w:p w:rsidR="007404A9" w:rsidRPr="005333A0" w:rsidRDefault="007404A9" w:rsidP="005333A0">
      <w:pPr>
        <w:numPr>
          <w:ilvl w:val="0"/>
          <w:numId w:val="8"/>
        </w:numPr>
        <w:spacing w:line="240" w:lineRule="auto"/>
        <w:rPr>
          <w:rFonts w:ascii="Arial" w:hAnsi="Arial" w:cs="Arial"/>
          <w:bCs/>
          <w:sz w:val="20"/>
          <w:szCs w:val="20"/>
        </w:rPr>
      </w:pPr>
      <w:r w:rsidRPr="00772839">
        <w:rPr>
          <w:rFonts w:ascii="Arial" w:hAnsi="Arial" w:cs="Arial"/>
          <w:bCs/>
          <w:sz w:val="20"/>
          <w:szCs w:val="20"/>
        </w:rPr>
        <w:t>Volunteer, Part-time</w:t>
      </w:r>
    </w:p>
    <w:p w:rsidR="007404A9" w:rsidRPr="00772839" w:rsidRDefault="007404A9" w:rsidP="007404A9">
      <w:pPr>
        <w:rPr>
          <w:rFonts w:ascii="Arial" w:hAnsi="Arial" w:cs="Arial"/>
          <w:b/>
          <w:bCs/>
          <w:sz w:val="20"/>
          <w:szCs w:val="20"/>
        </w:rPr>
      </w:pPr>
      <w:r>
        <w:rPr>
          <w:rFonts w:ascii="Arial" w:hAnsi="Arial" w:cs="Arial"/>
          <w:b/>
          <w:bCs/>
          <w:sz w:val="20"/>
          <w:szCs w:val="20"/>
        </w:rPr>
        <w:t>Location</w:t>
      </w:r>
      <w:r w:rsidRPr="00772839">
        <w:rPr>
          <w:rFonts w:ascii="Arial" w:hAnsi="Arial" w:cs="Arial"/>
          <w:b/>
          <w:bCs/>
          <w:sz w:val="20"/>
          <w:szCs w:val="20"/>
        </w:rPr>
        <w:t>:</w:t>
      </w:r>
    </w:p>
    <w:p w:rsidR="007404A9" w:rsidRPr="00772839" w:rsidRDefault="007404A9" w:rsidP="007404A9">
      <w:pPr>
        <w:numPr>
          <w:ilvl w:val="0"/>
          <w:numId w:val="8"/>
        </w:numPr>
        <w:spacing w:line="240" w:lineRule="auto"/>
        <w:rPr>
          <w:rFonts w:ascii="Arial" w:hAnsi="Arial" w:cs="Arial"/>
          <w:bCs/>
          <w:sz w:val="20"/>
          <w:szCs w:val="20"/>
        </w:rPr>
      </w:pPr>
      <w:r>
        <w:rPr>
          <w:rFonts w:ascii="Arial" w:hAnsi="Arial" w:cs="Arial"/>
          <w:bCs/>
          <w:sz w:val="20"/>
          <w:szCs w:val="20"/>
        </w:rPr>
        <w:t>Cowichan Valley</w:t>
      </w:r>
    </w:p>
    <w:p w:rsidR="007404A9" w:rsidRPr="00772839" w:rsidRDefault="007404A9" w:rsidP="007404A9">
      <w:pPr>
        <w:rPr>
          <w:rFonts w:ascii="Arial" w:hAnsi="Arial" w:cs="Arial"/>
          <w:b/>
          <w:bCs/>
          <w:sz w:val="20"/>
          <w:szCs w:val="20"/>
        </w:rPr>
      </w:pPr>
    </w:p>
    <w:p w:rsidR="007404A9" w:rsidRPr="00772839" w:rsidRDefault="007404A9" w:rsidP="007404A9">
      <w:pPr>
        <w:rPr>
          <w:rFonts w:ascii="Arial" w:hAnsi="Arial" w:cs="Arial"/>
          <w:b/>
          <w:bCs/>
          <w:sz w:val="20"/>
          <w:szCs w:val="20"/>
        </w:rPr>
      </w:pPr>
      <w:r w:rsidRPr="00772839">
        <w:rPr>
          <w:rFonts w:ascii="Arial" w:hAnsi="Arial" w:cs="Arial"/>
          <w:bCs/>
          <w:sz w:val="20"/>
          <w:szCs w:val="20"/>
        </w:rPr>
        <w:t xml:space="preserve">Please submit your application including </w:t>
      </w:r>
      <w:r>
        <w:rPr>
          <w:rFonts w:ascii="Arial" w:hAnsi="Arial" w:cs="Arial"/>
          <w:bCs/>
          <w:sz w:val="20"/>
          <w:szCs w:val="20"/>
        </w:rPr>
        <w:t xml:space="preserve">your </w:t>
      </w:r>
      <w:r w:rsidRPr="00772839">
        <w:rPr>
          <w:rFonts w:ascii="Arial" w:hAnsi="Arial" w:cs="Arial"/>
          <w:bCs/>
          <w:sz w:val="20"/>
          <w:szCs w:val="20"/>
        </w:rPr>
        <w:t xml:space="preserve">resume by email </w:t>
      </w:r>
      <w:r>
        <w:rPr>
          <w:rFonts w:ascii="Arial" w:hAnsi="Arial" w:cs="Arial"/>
          <w:bCs/>
          <w:sz w:val="20"/>
          <w:szCs w:val="20"/>
        </w:rPr>
        <w:t xml:space="preserve">to </w:t>
      </w:r>
      <w:r w:rsidRPr="00772839">
        <w:rPr>
          <w:rFonts w:ascii="Arial" w:hAnsi="Arial" w:cs="Arial"/>
          <w:b/>
          <w:bCs/>
          <w:sz w:val="20"/>
          <w:szCs w:val="20"/>
        </w:rPr>
        <w:t>Daphne Tsai, dtsai@alzheimerbc.org</w:t>
      </w:r>
    </w:p>
    <w:p w:rsidR="007404A9" w:rsidRDefault="007404A9" w:rsidP="007404A9">
      <w:pPr>
        <w:rPr>
          <w:rFonts w:ascii="Arial" w:hAnsi="Arial" w:cs="Arial"/>
          <w:b/>
          <w:bCs/>
          <w:sz w:val="20"/>
          <w:szCs w:val="20"/>
        </w:rPr>
      </w:pPr>
    </w:p>
    <w:p w:rsidR="007404A9" w:rsidRDefault="007404A9" w:rsidP="007404A9">
      <w:pPr>
        <w:rPr>
          <w:rFonts w:ascii="Arial" w:hAnsi="Arial" w:cs="Arial"/>
        </w:rPr>
      </w:pPr>
      <w:r>
        <w:rPr>
          <w:rFonts w:ascii="Arial" w:hAnsi="Arial" w:cs="Arial"/>
          <w:b/>
        </w:rPr>
        <w:t>Website</w:t>
      </w:r>
      <w:r>
        <w:rPr>
          <w:rFonts w:ascii="Arial" w:hAnsi="Arial" w:cs="Arial"/>
        </w:rPr>
        <w:t xml:space="preserve">: </w:t>
      </w:r>
      <w:hyperlink r:id="rId37" w:history="1">
        <w:r w:rsidRPr="005E36C7">
          <w:rPr>
            <w:rStyle w:val="Hyperlink"/>
            <w:rFonts w:ascii="Arial" w:hAnsi="Arial" w:cs="Arial"/>
          </w:rPr>
          <w:t>https://walkformemories.com</w:t>
        </w:r>
      </w:hyperlink>
    </w:p>
    <w:p w:rsidR="007404A9" w:rsidRDefault="007404A9" w:rsidP="007404A9">
      <w:pPr>
        <w:rPr>
          <w:rFonts w:ascii="Arial" w:hAnsi="Arial" w:cs="Arial"/>
        </w:rPr>
      </w:pPr>
    </w:p>
    <w:p w:rsidR="007404A9" w:rsidRDefault="005333A0" w:rsidP="007404A9">
      <w:pPr>
        <w:rPr>
          <w:rFonts w:ascii="Arial" w:hAnsi="Arial" w:cs="Arial"/>
          <w:b/>
          <w:bCs/>
          <w:sz w:val="20"/>
          <w:szCs w:val="20"/>
        </w:rPr>
      </w:pPr>
      <w:r w:rsidRPr="005333A0">
        <w:rPr>
          <w:rFonts w:ascii="Arial" w:hAnsi="Arial" w:cs="Arial"/>
          <w:b/>
          <w:bCs/>
          <w:noProof/>
          <w:sz w:val="20"/>
          <w:szCs w:val="20"/>
          <w:lang w:eastAsia="en-CA"/>
        </w:rPr>
        <w:drawing>
          <wp:inline distT="0" distB="0" distL="0" distR="0">
            <wp:extent cx="5791200" cy="96520"/>
            <wp:effectExtent l="19050" t="0" r="0" b="0"/>
            <wp:docPr id="20"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5333A0" w:rsidRPr="005333A0" w:rsidRDefault="007404A9" w:rsidP="005333A0">
      <w:pPr>
        <w:shd w:val="clear" w:color="auto" w:fill="FFFFFF"/>
        <w:jc w:val="center"/>
      </w:pPr>
      <w:r>
        <w:rPr>
          <w:rFonts w:ascii="Arial" w:hAnsi="Arial" w:cs="Arial"/>
          <w:b/>
          <w:bCs/>
          <w:sz w:val="20"/>
          <w:szCs w:val="20"/>
        </w:rPr>
        <w:br/>
      </w:r>
      <w:r w:rsidR="005333A0" w:rsidRPr="005333A0">
        <w:rPr>
          <w:b/>
          <w:sz w:val="28"/>
          <w:szCs w:val="28"/>
        </w:rPr>
        <w:t>Strategies for inter-professional health care providers to address elder abuse/ mistreatment</w:t>
      </w:r>
    </w:p>
    <w:p w:rsidR="007404A9" w:rsidRDefault="007404A9" w:rsidP="007404A9">
      <w:pPr>
        <w:rPr>
          <w:rFonts w:ascii="Arial" w:hAnsi="Arial" w:cs="Arial"/>
          <w:b/>
          <w:bCs/>
          <w:sz w:val="20"/>
          <w:szCs w:val="20"/>
        </w:rPr>
      </w:pPr>
    </w:p>
    <w:p w:rsidR="005333A0" w:rsidRDefault="005333A0" w:rsidP="007404A9">
      <w:pPr>
        <w:rPr>
          <w:rFonts w:ascii="Arial" w:hAnsi="Arial" w:cs="Arial"/>
          <w:b/>
          <w:bCs/>
          <w:sz w:val="20"/>
          <w:szCs w:val="20"/>
        </w:rPr>
      </w:pPr>
    </w:p>
    <w:p w:rsidR="005333A0" w:rsidRPr="005333A0" w:rsidRDefault="005333A0" w:rsidP="005333A0">
      <w:pPr>
        <w:shd w:val="clear" w:color="auto" w:fill="FFFFFF"/>
      </w:pPr>
      <w:r w:rsidRPr="005333A0">
        <w:t>Hello members of the Cowichan Seniors Network (CSN) and Cowichan Community Response Network (CCRN),</w:t>
      </w:r>
    </w:p>
    <w:p w:rsidR="005333A0" w:rsidRPr="005333A0" w:rsidRDefault="005333A0" w:rsidP="005333A0">
      <w:pPr>
        <w:shd w:val="clear" w:color="auto" w:fill="FFFFFF"/>
      </w:pPr>
      <w:r w:rsidRPr="005333A0">
        <w:t> </w:t>
      </w:r>
    </w:p>
    <w:p w:rsidR="005333A0" w:rsidRPr="005333A0" w:rsidRDefault="005333A0" w:rsidP="005333A0">
      <w:pPr>
        <w:shd w:val="clear" w:color="auto" w:fill="FFFFFF"/>
      </w:pPr>
      <w:r w:rsidRPr="005333A0">
        <w:rPr>
          <w:bCs/>
          <w:i/>
          <w:iCs/>
        </w:rPr>
        <w:t>At the last meeting of the Cowichan Seniors Network on March 24</w:t>
      </w:r>
      <w:r w:rsidRPr="005333A0">
        <w:rPr>
          <w:bCs/>
          <w:i/>
          <w:iCs/>
          <w:vertAlign w:val="superscript"/>
        </w:rPr>
        <w:t>th</w:t>
      </w:r>
      <w:r w:rsidRPr="005333A0">
        <w:rPr>
          <w:bCs/>
          <w:i/>
          <w:iCs/>
        </w:rPr>
        <w:t xml:space="preserve">, one of our members, Karen Davies, offered to facilitate a workshop on Elder Abuse.  The invitation is extended to other service providers and our appreciation goes to Karen for doing this!  </w:t>
      </w:r>
    </w:p>
    <w:p w:rsidR="005333A0" w:rsidRPr="005333A0" w:rsidRDefault="005333A0" w:rsidP="005333A0">
      <w:pPr>
        <w:shd w:val="clear" w:color="auto" w:fill="FFFFFF"/>
      </w:pPr>
      <w:r w:rsidRPr="005333A0">
        <w:t> </w:t>
      </w:r>
    </w:p>
    <w:p w:rsidR="005333A0" w:rsidRPr="005333A0" w:rsidRDefault="005333A0" w:rsidP="005333A0">
      <w:pPr>
        <w:shd w:val="clear" w:color="auto" w:fill="FFFFFF"/>
      </w:pPr>
      <w:r w:rsidRPr="005333A0">
        <w:t>The Cowichan Seniors Response Network (CSN) is</w:t>
      </w:r>
      <w:r w:rsidRPr="005333A0">
        <w:rPr>
          <w:bCs/>
          <w:i/>
          <w:iCs/>
        </w:rPr>
        <w:t xml:space="preserve"> </w:t>
      </w:r>
      <w:r w:rsidRPr="005333A0">
        <w:t>pleased to be hosting a professional development workshop as part of a collaborative effort to raise awareness of abuse and neglect of older people.  This workshop is designed for service providers and will be one in a series of events in preparation for World Elder Abuse Awareness Day (WEAAD):  June 15</w:t>
      </w:r>
      <w:r w:rsidRPr="005333A0">
        <w:rPr>
          <w:vertAlign w:val="superscript"/>
        </w:rPr>
        <w:t>th</w:t>
      </w:r>
      <w:r w:rsidRPr="005333A0">
        <w:t xml:space="preserve">.   We are planning other learning events designed for family, friends and neighbours and we will send you those notices as well. </w:t>
      </w:r>
    </w:p>
    <w:p w:rsidR="005333A0" w:rsidRPr="005333A0" w:rsidRDefault="005333A0" w:rsidP="005333A0">
      <w:pPr>
        <w:shd w:val="clear" w:color="auto" w:fill="FFFFFF"/>
      </w:pPr>
      <w:r w:rsidRPr="005333A0">
        <w:rPr>
          <w:bCs/>
          <w:i/>
          <w:iCs/>
        </w:rPr>
        <w:t> </w:t>
      </w:r>
    </w:p>
    <w:p w:rsidR="005333A0" w:rsidRPr="005333A0" w:rsidRDefault="005333A0" w:rsidP="005333A0">
      <w:pPr>
        <w:shd w:val="clear" w:color="auto" w:fill="FFFFFF"/>
      </w:pPr>
      <w:r w:rsidRPr="005333A0">
        <w:t xml:space="preserve">Please note that we ask you to pre-register because we have space for up to 30 people.  If there is interest from many more people, we will hold a second workshop.  </w:t>
      </w:r>
    </w:p>
    <w:p w:rsidR="005333A0" w:rsidRPr="005333A0" w:rsidRDefault="005333A0" w:rsidP="005333A0">
      <w:pPr>
        <w:shd w:val="clear" w:color="auto" w:fill="FFFFFF"/>
      </w:pPr>
    </w:p>
    <w:p w:rsidR="005333A0" w:rsidRDefault="005333A0" w:rsidP="005333A0">
      <w:pPr>
        <w:shd w:val="clear" w:color="auto" w:fill="FFFFFF"/>
        <w:rPr>
          <w:rFonts w:ascii="Helvetica" w:hAnsi="Helvetica"/>
          <w:color w:val="000000"/>
        </w:rPr>
      </w:pPr>
      <w:r>
        <w:rPr>
          <w:rFonts w:ascii="Helvetica" w:hAnsi="Helvetica"/>
          <w:color w:val="0712F3"/>
          <w:sz w:val="20"/>
          <w:szCs w:val="20"/>
        </w:rPr>
        <w:t> </w:t>
      </w:r>
    </w:p>
    <w:p w:rsidR="005333A0" w:rsidRPr="005333A0" w:rsidRDefault="005333A0" w:rsidP="005333A0">
      <w:pPr>
        <w:shd w:val="clear" w:color="auto" w:fill="FFFFFF"/>
        <w:rPr>
          <w:b/>
        </w:rPr>
      </w:pPr>
      <w:r w:rsidRPr="005333A0">
        <w:rPr>
          <w:b/>
        </w:rPr>
        <w:t>Workshop Title:</w:t>
      </w:r>
    </w:p>
    <w:p w:rsidR="005333A0" w:rsidRPr="005333A0" w:rsidRDefault="005333A0" w:rsidP="005333A0">
      <w:pPr>
        <w:shd w:val="clear" w:color="auto" w:fill="FFFFFF"/>
        <w:jc w:val="center"/>
      </w:pPr>
      <w:r w:rsidRPr="005333A0">
        <w:rPr>
          <w:b/>
          <w:sz w:val="28"/>
          <w:szCs w:val="28"/>
        </w:rPr>
        <w:t>Strategies for inter-professional health care providers to address elder abuse/ mistreatment</w:t>
      </w:r>
    </w:p>
    <w:p w:rsidR="005333A0" w:rsidRPr="005333A0" w:rsidRDefault="005333A0" w:rsidP="005333A0">
      <w:pPr>
        <w:shd w:val="clear" w:color="auto" w:fill="FFFFFF"/>
      </w:pPr>
      <w:r w:rsidRPr="005333A0">
        <w:rPr>
          <w:b/>
        </w:rPr>
        <w:t>Sponsor:</w:t>
      </w:r>
      <w:r w:rsidRPr="005333A0">
        <w:t xml:space="preserve"> Canadian Association of Occupational Therapists</w:t>
      </w:r>
    </w:p>
    <w:p w:rsidR="005333A0" w:rsidRPr="005333A0" w:rsidRDefault="005333A0" w:rsidP="005333A0">
      <w:pPr>
        <w:shd w:val="clear" w:color="auto" w:fill="FFFFFF"/>
      </w:pPr>
      <w:r w:rsidRPr="005333A0">
        <w:rPr>
          <w:b/>
        </w:rPr>
        <w:t>Trainer:</w:t>
      </w:r>
      <w:r w:rsidRPr="005333A0">
        <w:t xml:space="preserve"> Karen Davies, Occupational Therapist</w:t>
      </w:r>
    </w:p>
    <w:p w:rsidR="005333A0" w:rsidRPr="005333A0" w:rsidRDefault="005333A0" w:rsidP="005333A0">
      <w:pPr>
        <w:shd w:val="clear" w:color="auto" w:fill="FFFFFF"/>
      </w:pPr>
      <w:r w:rsidRPr="005333A0">
        <w:rPr>
          <w:b/>
        </w:rPr>
        <w:t>When:</w:t>
      </w:r>
      <w:r w:rsidRPr="005333A0">
        <w:t xml:space="preserve"> April 29 1:00 pm to 3:00 pm</w:t>
      </w:r>
    </w:p>
    <w:p w:rsidR="005333A0" w:rsidRPr="005333A0" w:rsidRDefault="005333A0" w:rsidP="005333A0">
      <w:pPr>
        <w:shd w:val="clear" w:color="auto" w:fill="FFFFFF"/>
      </w:pPr>
      <w:r w:rsidRPr="005333A0">
        <w:rPr>
          <w:b/>
        </w:rPr>
        <w:t>Location:</w:t>
      </w:r>
      <w:r w:rsidRPr="005333A0">
        <w:t xml:space="preserve"> Cowichan Regional Library “The Gathering Place” at the back of the library in Duncan</w:t>
      </w:r>
    </w:p>
    <w:p w:rsidR="005333A0" w:rsidRPr="005333A0" w:rsidRDefault="005333A0" w:rsidP="005333A0">
      <w:pPr>
        <w:shd w:val="clear" w:color="auto" w:fill="FFFFFF"/>
      </w:pPr>
      <w:r w:rsidRPr="005333A0">
        <w:rPr>
          <w:b/>
        </w:rPr>
        <w:t>To Register Contact:</w:t>
      </w:r>
      <w:r w:rsidRPr="005333A0">
        <w:t xml:space="preserve">  </w:t>
      </w:r>
      <w:hyperlink r:id="rId38" w:history="1">
        <w:r w:rsidRPr="005333A0">
          <w:rPr>
            <w:rStyle w:val="Hyperlink"/>
            <w:color w:val="auto"/>
          </w:rPr>
          <w:t>wc@volunteercowichan.ca</w:t>
        </w:r>
      </w:hyperlink>
      <w:r w:rsidRPr="005333A0">
        <w:t xml:space="preserve"> or call 250-748-2133</w:t>
      </w:r>
    </w:p>
    <w:p w:rsidR="005333A0" w:rsidRPr="00772839" w:rsidRDefault="005333A0" w:rsidP="007404A9">
      <w:pPr>
        <w:rPr>
          <w:rFonts w:ascii="Arial" w:hAnsi="Arial" w:cs="Arial"/>
          <w:b/>
          <w:bCs/>
          <w:sz w:val="20"/>
          <w:szCs w:val="20"/>
        </w:rPr>
      </w:pPr>
    </w:p>
    <w:p w:rsidR="007404A9" w:rsidRDefault="007404A9" w:rsidP="005333A0">
      <w:pPr>
        <w:spacing w:line="240" w:lineRule="auto"/>
        <w:jc w:val="center"/>
        <w:rPr>
          <w:sz w:val="28"/>
          <w:szCs w:val="28"/>
        </w:rPr>
      </w:pPr>
      <w:r w:rsidRPr="007404A9">
        <w:rPr>
          <w:noProof/>
          <w:sz w:val="28"/>
          <w:szCs w:val="28"/>
          <w:lang w:eastAsia="en-CA"/>
        </w:rPr>
        <w:drawing>
          <wp:inline distT="0" distB="0" distL="0" distR="0">
            <wp:extent cx="5791200" cy="96520"/>
            <wp:effectExtent l="19050" t="0" r="0" b="0"/>
            <wp:docPr id="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7404A9" w:rsidRDefault="007404A9" w:rsidP="00E60843">
      <w:pPr>
        <w:spacing w:line="240" w:lineRule="auto"/>
        <w:jc w:val="center"/>
        <w:rPr>
          <w:sz w:val="28"/>
          <w:szCs w:val="28"/>
        </w:rPr>
      </w:pPr>
    </w:p>
    <w:p w:rsidR="00E60843" w:rsidRPr="00A35259" w:rsidRDefault="00E60843" w:rsidP="00E60843">
      <w:pPr>
        <w:spacing w:line="240" w:lineRule="auto"/>
        <w:jc w:val="center"/>
        <w:rPr>
          <w:sz w:val="28"/>
          <w:szCs w:val="28"/>
        </w:rPr>
      </w:pPr>
      <w:r w:rsidRPr="00A35259">
        <w:rPr>
          <w:sz w:val="28"/>
          <w:szCs w:val="28"/>
        </w:rPr>
        <w:t>Do you have a resource, event or information you would like to share?</w:t>
      </w:r>
    </w:p>
    <w:p w:rsidR="00E60843" w:rsidRPr="00A35259" w:rsidRDefault="00E60843" w:rsidP="00E60843">
      <w:pPr>
        <w:pStyle w:val="ListParagraph"/>
        <w:spacing w:line="240" w:lineRule="auto"/>
        <w:jc w:val="center"/>
        <w:rPr>
          <w:sz w:val="28"/>
          <w:szCs w:val="28"/>
        </w:rPr>
      </w:pPr>
      <w:r w:rsidRPr="00A35259">
        <w:rPr>
          <w:sz w:val="28"/>
          <w:szCs w:val="28"/>
        </w:rPr>
        <w:t xml:space="preserve">Send it to </w:t>
      </w:r>
      <w:hyperlink r:id="rId39" w:history="1">
        <w:r w:rsidRPr="00A35259">
          <w:rPr>
            <w:rStyle w:val="Hyperlink"/>
            <w:sz w:val="28"/>
            <w:szCs w:val="28"/>
          </w:rPr>
          <w:t>cindylisecchn@shaw.ca</w:t>
        </w:r>
      </w:hyperlink>
      <w:r w:rsidRPr="00A35259">
        <w:rPr>
          <w:sz w:val="28"/>
          <w:szCs w:val="28"/>
        </w:rPr>
        <w:t xml:space="preserve"> and it will be included in the weekly Health Matters Newsletter</w:t>
      </w:r>
    </w:p>
    <w:p w:rsidR="00E60843" w:rsidRPr="00E60843" w:rsidRDefault="00E60843" w:rsidP="00E60843"/>
    <w:p w:rsidR="00E60843" w:rsidRPr="00E60843" w:rsidRDefault="00E60843" w:rsidP="00E60843"/>
    <w:sectPr w:rsidR="00E60843" w:rsidRPr="00E60843" w:rsidSect="00190BC8">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7F49F90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3B0C"/>
    <w:multiLevelType w:val="hybridMultilevel"/>
    <w:tmpl w:val="D71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DE5B72"/>
    <w:multiLevelType w:val="hybridMultilevel"/>
    <w:tmpl w:val="BFA24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F562F7"/>
    <w:multiLevelType w:val="hybridMultilevel"/>
    <w:tmpl w:val="F4505C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1E07C7"/>
    <w:multiLevelType w:val="hybridMultilevel"/>
    <w:tmpl w:val="45B0D91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
    <w:nsid w:val="264138C2"/>
    <w:multiLevelType w:val="multilevel"/>
    <w:tmpl w:val="6616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D52AB7"/>
    <w:multiLevelType w:val="hybridMultilevel"/>
    <w:tmpl w:val="1B920EE0"/>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284283"/>
    <w:multiLevelType w:val="multilevel"/>
    <w:tmpl w:val="A93E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3904A7"/>
    <w:multiLevelType w:val="hybridMultilevel"/>
    <w:tmpl w:val="79066C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6"/>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31227F"/>
    <w:rsid w:val="00023588"/>
    <w:rsid w:val="001533ED"/>
    <w:rsid w:val="00190BC8"/>
    <w:rsid w:val="0022027F"/>
    <w:rsid w:val="0031227F"/>
    <w:rsid w:val="004E569C"/>
    <w:rsid w:val="005333A0"/>
    <w:rsid w:val="007404A9"/>
    <w:rsid w:val="00A14087"/>
    <w:rsid w:val="00AB5022"/>
    <w:rsid w:val="00AF1C9B"/>
    <w:rsid w:val="00BD1F7F"/>
    <w:rsid w:val="00D9187E"/>
    <w:rsid w:val="00D97FA5"/>
    <w:rsid w:val="00DF6156"/>
    <w:rsid w:val="00E60843"/>
    <w:rsid w:val="00FA1FF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88"/>
  </w:style>
  <w:style w:type="paragraph" w:styleId="Heading1">
    <w:name w:val="heading 1"/>
    <w:basedOn w:val="Normal"/>
    <w:next w:val="Normal"/>
    <w:link w:val="Heading1Char"/>
    <w:uiPriority w:val="9"/>
    <w:qFormat/>
    <w:rsid w:val="00190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404A9"/>
    <w:pPr>
      <w:keepNext/>
      <w:spacing w:line="240" w:lineRule="auto"/>
      <w:outlineLvl w:val="1"/>
    </w:pPr>
    <w:rPr>
      <w:rFonts w:ascii="Times New Roman" w:eastAsia="Times New Roman" w:hAnsi="Times New Roman" w:cs="Times New Roman"/>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2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27F"/>
    <w:rPr>
      <w:rFonts w:ascii="Tahoma" w:hAnsi="Tahoma" w:cs="Tahoma"/>
      <w:sz w:val="16"/>
      <w:szCs w:val="16"/>
    </w:rPr>
  </w:style>
  <w:style w:type="character" w:styleId="Hyperlink">
    <w:name w:val="Hyperlink"/>
    <w:basedOn w:val="DefaultParagraphFont"/>
    <w:unhideWhenUsed/>
    <w:rsid w:val="00E60843"/>
    <w:rPr>
      <w:color w:val="0000FF"/>
      <w:u w:val="single"/>
    </w:rPr>
  </w:style>
  <w:style w:type="paragraph" w:styleId="ListParagraph">
    <w:name w:val="List Paragraph"/>
    <w:basedOn w:val="Normal"/>
    <w:uiPriority w:val="34"/>
    <w:qFormat/>
    <w:rsid w:val="00E60843"/>
    <w:pPr>
      <w:ind w:left="720"/>
      <w:contextualSpacing/>
    </w:pPr>
  </w:style>
  <w:style w:type="character" w:styleId="FollowedHyperlink">
    <w:name w:val="FollowedHyperlink"/>
    <w:basedOn w:val="DefaultParagraphFont"/>
    <w:uiPriority w:val="99"/>
    <w:semiHidden/>
    <w:unhideWhenUsed/>
    <w:rsid w:val="00AB5022"/>
    <w:rPr>
      <w:color w:val="800080" w:themeColor="followedHyperlink"/>
      <w:u w:val="single"/>
    </w:rPr>
  </w:style>
  <w:style w:type="character" w:customStyle="1" w:styleId="Heading2Char">
    <w:name w:val="Heading 2 Char"/>
    <w:basedOn w:val="DefaultParagraphFont"/>
    <w:link w:val="Heading2"/>
    <w:rsid w:val="007404A9"/>
    <w:rPr>
      <w:rFonts w:ascii="Times New Roman" w:eastAsia="Times New Roman" w:hAnsi="Times New Roman" w:cs="Times New Roman"/>
      <w:sz w:val="24"/>
      <w:szCs w:val="24"/>
      <w:u w:val="single"/>
      <w:lang w:val="en-US"/>
    </w:rPr>
  </w:style>
  <w:style w:type="paragraph" w:styleId="Title">
    <w:name w:val="Title"/>
    <w:basedOn w:val="Normal"/>
    <w:link w:val="TitleChar"/>
    <w:qFormat/>
    <w:rsid w:val="007404A9"/>
    <w:pPr>
      <w:spacing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7404A9"/>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5333A0"/>
    <w:pPr>
      <w:spacing w:before="100" w:beforeAutospacing="1" w:after="100" w:afterAutospacing="1" w:line="240" w:lineRule="auto"/>
    </w:pPr>
    <w:rPr>
      <w:rFonts w:ascii="Times New Roman" w:hAnsi="Times New Roman" w:cs="Times New Roman"/>
      <w:sz w:val="24"/>
      <w:szCs w:val="24"/>
      <w:lang w:eastAsia="en-CA"/>
    </w:rPr>
  </w:style>
  <w:style w:type="character" w:customStyle="1" w:styleId="Heading1Char">
    <w:name w:val="Heading 1 Char"/>
    <w:basedOn w:val="DefaultParagraphFont"/>
    <w:link w:val="Heading1"/>
    <w:uiPriority w:val="9"/>
    <w:rsid w:val="00190BC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81206686">
      <w:bodyDiv w:val="1"/>
      <w:marLeft w:val="0"/>
      <w:marRight w:val="0"/>
      <w:marTop w:val="0"/>
      <w:marBottom w:val="0"/>
      <w:divBdr>
        <w:top w:val="none" w:sz="0" w:space="0" w:color="auto"/>
        <w:left w:val="none" w:sz="0" w:space="0" w:color="auto"/>
        <w:bottom w:val="none" w:sz="0" w:space="0" w:color="auto"/>
        <w:right w:val="none" w:sz="0" w:space="0" w:color="auto"/>
      </w:divBdr>
    </w:div>
    <w:div w:id="93016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hyperlink" Target="http://planh.ca/sites/default/files/linkages_toolkit_final_april_8_2014_full.pdf" TargetMode="External"/><Relationship Id="rId26" Type="http://schemas.openxmlformats.org/officeDocument/2006/relationships/hyperlink" Target="http://fluidsurveys.com/surveys/pphphsa/healthy-built-environment-linkages-toolkit/" TargetMode="External"/><Relationship Id="rId39" Type="http://schemas.openxmlformats.org/officeDocument/2006/relationships/hyperlink" Target="mailto:cindylisecchn@shaw.ca" TargetMode="External"/><Relationship Id="rId3" Type="http://schemas.openxmlformats.org/officeDocument/2006/relationships/settings" Target="settings.xml"/><Relationship Id="rId21" Type="http://schemas.openxmlformats.org/officeDocument/2006/relationships/hyperlink" Target="http://planh.ca/sites/default/files/healthy_people_healthy_places.jpg" TargetMode="External"/><Relationship Id="rId34" Type="http://schemas.openxmlformats.org/officeDocument/2006/relationships/hyperlink" Target="http://click.icptrack.com/icp/relay.php?r=12391125&amp;msgid=264533&amp;act=AZCF&amp;c=804138&amp;destination=http%3A%2F%2Fbchealthycommunitiesca.blogspot.com%2F" TargetMode="External"/><Relationship Id="rId7" Type="http://schemas.openxmlformats.org/officeDocument/2006/relationships/image" Target="media/image2.jpeg"/><Relationship Id="rId12" Type="http://schemas.openxmlformats.org/officeDocument/2006/relationships/hyperlink" Target="http://maps.gov.bc.ca/ess/sv/cha/" TargetMode="External"/><Relationship Id="rId17" Type="http://schemas.openxmlformats.org/officeDocument/2006/relationships/hyperlink" Target="http://www.phsa.ca/HealthProfessionals/Population-Public-Health/Healthy-Built-Environment/default.htm" TargetMode="External"/><Relationship Id="rId25" Type="http://schemas.openxmlformats.org/officeDocument/2006/relationships/hyperlink" Target="http://www.chnet-works.ca/index.php?option=com_rsevents&amp;view=events&amp;layout=show&amp;cid=293%3Ahealthy-built-environment-linkages-a-toolkit-for-design-planning-health&amp;Itemid=94&amp;lang=en" TargetMode="External"/><Relationship Id="rId33" Type="http://schemas.openxmlformats.org/officeDocument/2006/relationships/image" Target="media/image9.jpeg"/><Relationship Id="rId38" Type="http://schemas.openxmlformats.org/officeDocument/2006/relationships/hyperlink" Target="mailto:wc@volunteercowichan.ca" TargetMode="External"/><Relationship Id="rId2" Type="http://schemas.openxmlformats.org/officeDocument/2006/relationships/styles" Target="styles.xml"/><Relationship Id="rId16" Type="http://schemas.openxmlformats.org/officeDocument/2006/relationships/hyperlink" Target="http://planh.ca/sites/default/files/linkages_toolkit_final_april_8_2014_full.pdf" TargetMode="External"/><Relationship Id="rId20" Type="http://schemas.openxmlformats.org/officeDocument/2006/relationships/hyperlink" Target="https://www.eventbrite.ca/e/healthy-people-healthy-places-exploring-healthy-built-environments-tickets-10994878979" TargetMode="External"/><Relationship Id="rId29" Type="http://schemas.openxmlformats.org/officeDocument/2006/relationships/hyperlink" Target="http://bchealthycommunities.c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56EE243D-187C-4CBD-86C9-9E86F6B53287@du.shawcable.net" TargetMode="External"/><Relationship Id="rId11" Type="http://schemas.openxmlformats.org/officeDocument/2006/relationships/hyperlink" Target="http://u.info-hcc-ccs.ca/t/1_1jhmxf8v4j9/ourhealthsystem.ca/" TargetMode="External"/><Relationship Id="rId24" Type="http://schemas.openxmlformats.org/officeDocument/2006/relationships/hyperlink" Target="http://planh.ca/sites/default/files/chnet_poster_final.pdf" TargetMode="External"/><Relationship Id="rId32" Type="http://schemas.openxmlformats.org/officeDocument/2006/relationships/image" Target="media/image8.jpeg"/><Relationship Id="rId37" Type="http://schemas.openxmlformats.org/officeDocument/2006/relationships/hyperlink" Target="https://walkformemories.com"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www.chnet-works.ca/" TargetMode="External"/><Relationship Id="rId28" Type="http://schemas.openxmlformats.org/officeDocument/2006/relationships/hyperlink" Target="mailto:pph@phsa.ca" TargetMode="External"/><Relationship Id="rId36" Type="http://schemas.openxmlformats.org/officeDocument/2006/relationships/image" Target="media/image11.jpeg"/><Relationship Id="rId10" Type="http://schemas.openxmlformats.org/officeDocument/2006/relationships/hyperlink" Target="http://u.info-hcc-ccs.ca/t/1_1jhmxf7v4j9/ourhealthsystem.ca/" TargetMode="External"/><Relationship Id="rId19" Type="http://schemas.openxmlformats.org/officeDocument/2006/relationships/hyperlink" Target="http://planh.ca/sites/default/files/linkages_toolkit_2-pager_final_april_8_2014.pdf" TargetMode="External"/><Relationship Id="rId31" Type="http://schemas.openxmlformats.org/officeDocument/2006/relationships/hyperlink" Target="http://www.healthyfamiliesbc.ca/"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cid:ii_145626828410ca0c" TargetMode="External"/><Relationship Id="rId22" Type="http://schemas.openxmlformats.org/officeDocument/2006/relationships/hyperlink" Target="https://www.eventbrite.ca/e/healthy-people-healthy-places-exploring-healthy-built-environments-tickets-10994878979" TargetMode="External"/><Relationship Id="rId27" Type="http://schemas.openxmlformats.org/officeDocument/2006/relationships/hyperlink" Target="http://fluidsurveys.com/surveys/pphphsa/healthy-built-environment-linkages-toolkit/" TargetMode="External"/><Relationship Id="rId30" Type="http://schemas.openxmlformats.org/officeDocument/2006/relationships/image" Target="media/image7.jpeg"/><Relationship Id="rId35"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5</cp:revision>
  <dcterms:created xsi:type="dcterms:W3CDTF">2014-04-22T17:10:00Z</dcterms:created>
  <dcterms:modified xsi:type="dcterms:W3CDTF">2014-04-25T05:19:00Z</dcterms:modified>
</cp:coreProperties>
</file>